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DDD36">
      <w:pPr>
        <w:spacing w:line="360" w:lineRule="auto"/>
        <w:jc w:val="center"/>
        <w:rPr>
          <w:rFonts w:ascii="仿宋_GB2312" w:hAnsi="宋体" w:eastAsia="仿宋_GB2312"/>
          <w:b/>
          <w:bCs/>
          <w:sz w:val="24"/>
        </w:rPr>
      </w:pPr>
      <w:r>
        <w:rPr>
          <w:rFonts w:hint="eastAsia" w:ascii="仿宋_GB2312" w:hAnsi="宋体" w:eastAsia="仿宋_GB2312"/>
          <w:b/>
          <w:bCs/>
          <w:sz w:val="24"/>
          <w:u w:val="single"/>
        </w:rPr>
        <w:t xml:space="preserve">            </w:t>
      </w:r>
      <w:r>
        <w:rPr>
          <w:rFonts w:hint="eastAsia" w:ascii="仿宋_GB2312" w:hAnsi="宋体" w:eastAsia="仿宋_GB2312"/>
          <w:b/>
          <w:bCs/>
          <w:sz w:val="24"/>
        </w:rPr>
        <w:t>项目采购方案（货物类）</w:t>
      </w:r>
    </w:p>
    <w:p w14:paraId="1AA01565">
      <w:pPr>
        <w:spacing w:line="360" w:lineRule="auto"/>
        <w:jc w:val="center"/>
        <w:rPr>
          <w:rFonts w:ascii="仿宋_GB2312" w:eastAsia="仿宋_GB2312"/>
          <w:b/>
          <w:bCs/>
          <w:sz w:val="24"/>
        </w:rPr>
      </w:pPr>
      <w:r>
        <w:rPr>
          <w:rFonts w:hint="eastAsia" w:ascii="仿宋_GB2312" w:hAnsi="宋体" w:eastAsia="仿宋_GB2312"/>
          <w:b/>
          <w:bCs/>
          <w:sz w:val="24"/>
        </w:rPr>
        <w:t>（</w:t>
      </w:r>
      <w:r>
        <w:rPr>
          <w:rFonts w:hint="eastAsia" w:ascii="仿宋_GB2312" w:hAnsi="宋体" w:eastAsia="仿宋_GB2312"/>
          <w:b/>
          <w:bCs/>
          <w:color w:val="FF0000"/>
          <w:sz w:val="28"/>
        </w:rPr>
        <w:t>请在编制正式采购方案时删除本模板中所有红色字样</w:t>
      </w:r>
      <w:r>
        <w:rPr>
          <w:rFonts w:hint="eastAsia" w:ascii="仿宋_GB2312" w:hAnsi="宋体" w:eastAsia="仿宋_GB2312"/>
          <w:b/>
          <w:bCs/>
          <w:sz w:val="24"/>
        </w:rPr>
        <w:t>）</w:t>
      </w:r>
    </w:p>
    <w:p w14:paraId="3B4F8AEA">
      <w:pPr>
        <w:spacing w:line="360" w:lineRule="auto"/>
        <w:jc w:val="left"/>
        <w:rPr>
          <w:rFonts w:ascii="仿宋_GB2312" w:hAnsi="宋体" w:eastAsia="仿宋_GB2312"/>
          <w:b/>
          <w:bCs w:val="0"/>
          <w:sz w:val="24"/>
        </w:rPr>
      </w:pPr>
      <w:r>
        <w:rPr>
          <w:rFonts w:hint="eastAsia" w:ascii="仿宋_GB2312" w:hAnsi="宋体" w:eastAsia="仿宋_GB2312"/>
          <w:b/>
          <w:bCs w:val="0"/>
          <w:sz w:val="24"/>
          <w:lang w:val="en-US" w:eastAsia="zh-CN"/>
        </w:rPr>
        <w:t>一、标的</w:t>
      </w:r>
      <w:r>
        <w:rPr>
          <w:rFonts w:hint="eastAsia" w:ascii="仿宋_GB2312" w:hAnsi="宋体" w:eastAsia="仿宋_GB2312"/>
          <w:b/>
          <w:bCs w:val="0"/>
          <w:sz w:val="24"/>
        </w:rPr>
        <w:t>一览表</w:t>
      </w:r>
    </w:p>
    <w:p w14:paraId="585DB9DD">
      <w:pPr>
        <w:spacing w:line="360" w:lineRule="auto"/>
        <w:jc w:val="left"/>
        <w:rPr>
          <w:rFonts w:ascii="仿宋_GB2312" w:eastAsia="仿宋_GB2312"/>
          <w:bCs/>
          <w:sz w:val="24"/>
        </w:rPr>
      </w:pPr>
      <w:r>
        <w:rPr>
          <w:rFonts w:hint="eastAsia" w:ascii="仿宋_GB2312" w:hAnsi="宋体" w:eastAsia="仿宋_GB2312"/>
          <w:bCs/>
          <w:color w:val="FF0000"/>
          <w:sz w:val="24"/>
        </w:rPr>
        <w:t>（注：</w:t>
      </w:r>
      <w:r>
        <w:rPr>
          <w:rFonts w:hint="eastAsia" w:ascii="仿宋" w:hAnsi="仿宋" w:eastAsia="仿宋"/>
          <w:bCs/>
          <w:color w:val="FF0000"/>
          <w:sz w:val="24"/>
        </w:rPr>
        <w:t>①</w:t>
      </w:r>
      <w:r>
        <w:rPr>
          <w:rFonts w:hint="eastAsia" w:ascii="仿宋_GB2312" w:hAnsi="宋体" w:eastAsia="仿宋_GB2312"/>
          <w:bCs/>
          <w:color w:val="FF0000"/>
          <w:sz w:val="24"/>
        </w:rPr>
        <w:t>请列明1个核心产品可用文字或符号标记，核心产品建议选择价格占比较高的产品，用来投标时判定是否有三个不同品牌响应。</w:t>
      </w:r>
      <w:r>
        <w:rPr>
          <w:rFonts w:hint="eastAsia" w:ascii="仿宋" w:hAnsi="仿宋" w:eastAsia="仿宋"/>
          <w:bCs/>
          <w:color w:val="FF0000"/>
          <w:sz w:val="24"/>
        </w:rPr>
        <w:t>②</w:t>
      </w:r>
      <w:r>
        <w:rPr>
          <w:rFonts w:hint="eastAsia" w:ascii="仿宋_GB2312" w:hAnsi="宋体" w:eastAsia="仿宋_GB2312"/>
          <w:bCs/>
          <w:color w:val="FF0000"/>
          <w:sz w:val="24"/>
        </w:rPr>
        <w:t>对同款产品应汇总合计确保货物名称一致、单价一致。</w:t>
      </w:r>
      <w:r>
        <w:rPr>
          <w:rFonts w:hint="eastAsia" w:ascii="仿宋" w:hAnsi="仿宋" w:eastAsia="仿宋"/>
          <w:bCs/>
          <w:color w:val="FF0000"/>
          <w:sz w:val="24"/>
        </w:rPr>
        <w:t>③</w:t>
      </w:r>
      <w:r>
        <w:rPr>
          <w:rFonts w:hint="eastAsia" w:ascii="仿宋_GB2312" w:hAnsi="宋体" w:eastAsia="仿宋_GB2312"/>
          <w:bCs/>
          <w:color w:val="FF0000"/>
          <w:sz w:val="24"/>
        </w:rPr>
        <w:t>请按一定顺序分类汇总排列产品，如按设备类、家具类、文化装饰类、装修类次序排列产品。</w:t>
      </w:r>
      <w:r>
        <w:rPr>
          <w:rFonts w:hint="eastAsia" w:ascii="宋体" w:hAnsi="宋体"/>
          <w:bCs/>
          <w:color w:val="FF0000"/>
          <w:sz w:val="24"/>
        </w:rPr>
        <w:t>④</w:t>
      </w:r>
      <w:r>
        <w:rPr>
          <w:rFonts w:hint="eastAsia" w:ascii="仿宋_GB2312" w:hAnsi="宋体" w:eastAsia="仿宋_GB2312"/>
          <w:bCs/>
          <w:color w:val="FF0000"/>
          <w:sz w:val="24"/>
        </w:rPr>
        <w:t>属于网上超市可购买的同款产品，预算单价不超过网上超市同款产品单价</w:t>
      </w:r>
      <w:r>
        <w:rPr>
          <w:rFonts w:hint="eastAsia" w:ascii="仿宋" w:hAnsi="仿宋" w:eastAsia="仿宋"/>
          <w:bCs/>
          <w:color w:val="FF0000"/>
          <w:sz w:val="24"/>
        </w:rPr>
        <w:t>+</w:t>
      </w:r>
      <w:r>
        <w:rPr>
          <w:rFonts w:hint="eastAsia" w:ascii="仿宋_GB2312" w:hAnsi="宋体" w:eastAsia="仿宋_GB2312"/>
          <w:bCs/>
          <w:color w:val="FF0000"/>
          <w:sz w:val="24"/>
        </w:rPr>
        <w:t>3%）</w:t>
      </w:r>
      <w:r>
        <w:rPr>
          <w:rFonts w:ascii="仿宋_GB2312" w:eastAsia="仿宋_GB2312"/>
          <w:bCs/>
          <w:sz w:val="24"/>
        </w:rPr>
        <w:t xml:space="preserve"> </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1042"/>
        <w:gridCol w:w="3733"/>
        <w:gridCol w:w="1042"/>
        <w:gridCol w:w="1342"/>
        <w:gridCol w:w="1493"/>
      </w:tblGrid>
      <w:tr w14:paraId="2BC95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559" w:type="pct"/>
            <w:vAlign w:val="center"/>
          </w:tcPr>
          <w:p w14:paraId="72B18A57">
            <w:pPr>
              <w:spacing w:line="400" w:lineRule="exact"/>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lang w:val="en-US" w:eastAsia="zh-CN"/>
              </w:rPr>
              <w:t>采购</w:t>
            </w:r>
            <w:r>
              <w:rPr>
                <w:rFonts w:hint="eastAsia" w:ascii="仿宋_GB2312" w:hAnsi="宋体" w:eastAsia="仿宋_GB2312" w:cs="宋体"/>
                <w:bCs/>
                <w:color w:val="000000"/>
                <w:kern w:val="0"/>
                <w:sz w:val="24"/>
              </w:rPr>
              <w:t>包</w:t>
            </w:r>
          </w:p>
        </w:tc>
        <w:tc>
          <w:tcPr>
            <w:tcW w:w="535" w:type="pct"/>
            <w:vAlign w:val="center"/>
          </w:tcPr>
          <w:p w14:paraId="2D511A22">
            <w:pPr>
              <w:spacing w:line="400" w:lineRule="exact"/>
              <w:jc w:val="center"/>
              <w:rPr>
                <w:rFonts w:ascii="仿宋_GB2312" w:eastAsia="仿宋_GB2312" w:cs="宋体"/>
                <w:color w:val="000000"/>
                <w:sz w:val="24"/>
              </w:rPr>
            </w:pPr>
            <w:r>
              <w:rPr>
                <w:rFonts w:hint="eastAsia" w:ascii="仿宋_GB2312" w:hAnsi="宋体" w:eastAsia="仿宋_GB2312" w:cs="宋体"/>
                <w:color w:val="000000"/>
                <w:sz w:val="24"/>
                <w:lang w:val="en-US" w:eastAsia="zh-CN"/>
              </w:rPr>
              <w:t>序</w:t>
            </w:r>
            <w:r>
              <w:rPr>
                <w:rFonts w:hint="eastAsia" w:ascii="仿宋_GB2312" w:hAnsi="宋体" w:eastAsia="仿宋_GB2312" w:cs="宋体"/>
                <w:color w:val="000000"/>
                <w:sz w:val="24"/>
              </w:rPr>
              <w:t>号</w:t>
            </w:r>
          </w:p>
        </w:tc>
        <w:tc>
          <w:tcPr>
            <w:tcW w:w="1916" w:type="pct"/>
            <w:vAlign w:val="center"/>
          </w:tcPr>
          <w:p w14:paraId="5CADA6F8">
            <w:pPr>
              <w:spacing w:line="400" w:lineRule="exact"/>
              <w:jc w:val="center"/>
              <w:rPr>
                <w:rFonts w:ascii="仿宋_GB2312" w:eastAsia="仿宋_GB2312" w:cs="宋体"/>
                <w:bCs/>
                <w:color w:val="000000"/>
                <w:kern w:val="0"/>
                <w:sz w:val="24"/>
              </w:rPr>
            </w:pPr>
            <w:r>
              <w:rPr>
                <w:rFonts w:hint="eastAsia" w:ascii="仿宋_GB2312" w:hAnsi="宋体" w:eastAsia="仿宋_GB2312" w:cs="宋体"/>
                <w:color w:val="000000"/>
                <w:sz w:val="24"/>
              </w:rPr>
              <w:t>货物名称</w:t>
            </w:r>
          </w:p>
        </w:tc>
        <w:tc>
          <w:tcPr>
            <w:tcW w:w="535" w:type="pct"/>
            <w:vAlign w:val="center"/>
          </w:tcPr>
          <w:p w14:paraId="622EF328">
            <w:pPr>
              <w:spacing w:line="400" w:lineRule="exact"/>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数量</w:t>
            </w:r>
          </w:p>
        </w:tc>
        <w:tc>
          <w:tcPr>
            <w:tcW w:w="689" w:type="pct"/>
            <w:vAlign w:val="center"/>
          </w:tcPr>
          <w:p w14:paraId="2F1BA186">
            <w:pPr>
              <w:spacing w:line="400" w:lineRule="exact"/>
              <w:jc w:val="center"/>
              <w:rPr>
                <w:rFonts w:ascii="仿宋_GB2312" w:eastAsia="仿宋_GB2312" w:cs="宋体"/>
                <w:color w:val="000000"/>
                <w:sz w:val="24"/>
              </w:rPr>
            </w:pPr>
            <w:r>
              <w:rPr>
                <w:rFonts w:hint="eastAsia" w:ascii="仿宋_GB2312" w:hAnsi="宋体" w:eastAsia="仿宋_GB2312" w:cs="宋体"/>
                <w:color w:val="000000"/>
                <w:sz w:val="24"/>
              </w:rPr>
              <w:t>预算单价（元）</w:t>
            </w:r>
          </w:p>
        </w:tc>
        <w:tc>
          <w:tcPr>
            <w:tcW w:w="765" w:type="pct"/>
            <w:vAlign w:val="center"/>
          </w:tcPr>
          <w:p w14:paraId="6AA6B203">
            <w:pPr>
              <w:spacing w:line="400" w:lineRule="exact"/>
              <w:jc w:val="center"/>
              <w:rPr>
                <w:rFonts w:ascii="仿宋_GB2312" w:eastAsia="仿宋_GB2312" w:cs="宋体"/>
                <w:bCs/>
                <w:color w:val="000000"/>
                <w:kern w:val="0"/>
                <w:sz w:val="24"/>
              </w:rPr>
            </w:pPr>
            <w:r>
              <w:rPr>
                <w:rFonts w:hint="eastAsia" w:ascii="仿宋_GB2312" w:hAnsi="宋体" w:eastAsia="仿宋_GB2312" w:cs="宋体"/>
                <w:color w:val="000000"/>
                <w:sz w:val="24"/>
              </w:rPr>
              <w:t>预算金额（元）</w:t>
            </w:r>
          </w:p>
        </w:tc>
      </w:tr>
      <w:tr w14:paraId="4793E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559" w:type="pct"/>
            <w:vMerge w:val="restart"/>
            <w:vAlign w:val="center"/>
          </w:tcPr>
          <w:p w14:paraId="00AAD34E">
            <w:pPr>
              <w:spacing w:line="400" w:lineRule="exact"/>
              <w:jc w:val="center"/>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1</w:t>
            </w:r>
          </w:p>
        </w:tc>
        <w:tc>
          <w:tcPr>
            <w:tcW w:w="535" w:type="pct"/>
            <w:shd w:val="clear" w:color="auto" w:fill="FFFFFF"/>
            <w:vAlign w:val="center"/>
          </w:tcPr>
          <w:p w14:paraId="332357E9">
            <w:pPr>
              <w:widowControl/>
              <w:jc w:val="center"/>
              <w:rPr>
                <w:rFonts w:ascii="仿宋_GB2312" w:eastAsia="仿宋_GB2312" w:cs="宋体"/>
                <w:color w:val="000000"/>
                <w:sz w:val="24"/>
              </w:rPr>
            </w:pPr>
            <w:r>
              <w:rPr>
                <w:rFonts w:hint="eastAsia" w:ascii="仿宋_GB2312" w:hAnsi="宋体" w:eastAsia="仿宋_GB2312" w:cs="宋体"/>
                <w:color w:val="000000"/>
                <w:kern w:val="0"/>
                <w:sz w:val="24"/>
              </w:rPr>
              <w:t>1</w:t>
            </w:r>
          </w:p>
        </w:tc>
        <w:tc>
          <w:tcPr>
            <w:tcW w:w="1916" w:type="pct"/>
            <w:shd w:val="clear" w:color="auto" w:fill="FFFFFF"/>
            <w:vAlign w:val="center"/>
          </w:tcPr>
          <w:p w14:paraId="38731A18">
            <w:pPr>
              <w:widowControl/>
              <w:spacing w:line="400" w:lineRule="exact"/>
              <w:jc w:val="center"/>
              <w:rPr>
                <w:rFonts w:ascii="仿宋_GB2312" w:eastAsia="仿宋_GB2312" w:cs="宋体"/>
                <w:color w:val="000000"/>
                <w:kern w:val="0"/>
                <w:sz w:val="24"/>
              </w:rPr>
            </w:pPr>
          </w:p>
        </w:tc>
        <w:tc>
          <w:tcPr>
            <w:tcW w:w="535" w:type="pct"/>
            <w:shd w:val="clear" w:color="auto" w:fill="FFFFFF"/>
            <w:vAlign w:val="center"/>
          </w:tcPr>
          <w:p w14:paraId="7BBED762">
            <w:pPr>
              <w:widowControl/>
              <w:spacing w:line="400" w:lineRule="exact"/>
              <w:jc w:val="center"/>
              <w:rPr>
                <w:rFonts w:ascii="仿宋_GB2312" w:eastAsia="仿宋_GB2312" w:cs="宋体"/>
                <w:color w:val="000000"/>
                <w:sz w:val="24"/>
              </w:rPr>
            </w:pPr>
          </w:p>
        </w:tc>
        <w:tc>
          <w:tcPr>
            <w:tcW w:w="689" w:type="pct"/>
            <w:shd w:val="clear" w:color="auto" w:fill="FFFFFF"/>
            <w:vAlign w:val="center"/>
          </w:tcPr>
          <w:p w14:paraId="6E4D18EA">
            <w:pPr>
              <w:widowControl/>
              <w:spacing w:line="400" w:lineRule="exact"/>
              <w:jc w:val="center"/>
              <w:rPr>
                <w:rFonts w:ascii="仿宋_GB2312" w:eastAsia="仿宋_GB2312" w:cs="宋体"/>
                <w:color w:val="000000"/>
                <w:sz w:val="24"/>
              </w:rPr>
            </w:pPr>
          </w:p>
        </w:tc>
        <w:tc>
          <w:tcPr>
            <w:tcW w:w="765" w:type="pct"/>
            <w:shd w:val="clear" w:color="auto" w:fill="FFFFFF"/>
            <w:vAlign w:val="center"/>
          </w:tcPr>
          <w:p w14:paraId="2EF47144">
            <w:pPr>
              <w:widowControl/>
              <w:spacing w:line="400" w:lineRule="exact"/>
              <w:jc w:val="center"/>
              <w:rPr>
                <w:rFonts w:ascii="仿宋_GB2312" w:eastAsia="仿宋_GB2312" w:cs="宋体"/>
                <w:color w:val="000000"/>
                <w:sz w:val="24"/>
              </w:rPr>
            </w:pPr>
          </w:p>
        </w:tc>
      </w:tr>
      <w:tr w14:paraId="5867C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59" w:type="pct"/>
            <w:vMerge w:val="continue"/>
            <w:vAlign w:val="center"/>
          </w:tcPr>
          <w:p w14:paraId="22D85102">
            <w:pPr>
              <w:spacing w:line="400" w:lineRule="exact"/>
              <w:jc w:val="center"/>
              <w:rPr>
                <w:rFonts w:ascii="仿宋_GB2312" w:eastAsia="仿宋_GB2312" w:cs="宋体"/>
                <w:bCs/>
                <w:color w:val="000000"/>
                <w:kern w:val="0"/>
                <w:sz w:val="24"/>
              </w:rPr>
            </w:pPr>
          </w:p>
        </w:tc>
        <w:tc>
          <w:tcPr>
            <w:tcW w:w="535" w:type="pct"/>
            <w:shd w:val="clear" w:color="auto" w:fill="FFFFFF"/>
            <w:vAlign w:val="center"/>
          </w:tcPr>
          <w:p w14:paraId="33CE47FC">
            <w:pPr>
              <w:widowControl/>
              <w:jc w:val="center"/>
              <w:rPr>
                <w:rFonts w:ascii="仿宋_GB2312" w:eastAsia="仿宋_GB2312" w:cs="宋体"/>
                <w:color w:val="000000"/>
                <w:sz w:val="24"/>
              </w:rPr>
            </w:pPr>
            <w:r>
              <w:rPr>
                <w:rFonts w:hint="eastAsia" w:ascii="仿宋_GB2312" w:hAnsi="宋体" w:eastAsia="仿宋_GB2312" w:cs="宋体"/>
                <w:color w:val="000000"/>
                <w:kern w:val="0"/>
                <w:sz w:val="24"/>
              </w:rPr>
              <w:t>2</w:t>
            </w:r>
          </w:p>
        </w:tc>
        <w:tc>
          <w:tcPr>
            <w:tcW w:w="1916" w:type="pct"/>
            <w:shd w:val="clear" w:color="auto" w:fill="FFFFFF"/>
            <w:vAlign w:val="center"/>
          </w:tcPr>
          <w:p w14:paraId="1C2FF1E4">
            <w:pPr>
              <w:spacing w:line="400" w:lineRule="exact"/>
              <w:jc w:val="center"/>
              <w:rPr>
                <w:rFonts w:ascii="仿宋_GB2312" w:eastAsia="仿宋_GB2312" w:cs="宋体"/>
                <w:color w:val="000000"/>
                <w:sz w:val="24"/>
              </w:rPr>
            </w:pPr>
          </w:p>
        </w:tc>
        <w:tc>
          <w:tcPr>
            <w:tcW w:w="535" w:type="pct"/>
            <w:shd w:val="clear" w:color="auto" w:fill="FFFFFF"/>
            <w:vAlign w:val="center"/>
          </w:tcPr>
          <w:p w14:paraId="4BEC8057">
            <w:pPr>
              <w:widowControl/>
              <w:spacing w:line="400" w:lineRule="exact"/>
              <w:jc w:val="center"/>
              <w:rPr>
                <w:rFonts w:ascii="仿宋_GB2312" w:eastAsia="仿宋_GB2312" w:cs="宋体"/>
                <w:color w:val="000000"/>
                <w:sz w:val="24"/>
              </w:rPr>
            </w:pPr>
          </w:p>
        </w:tc>
        <w:tc>
          <w:tcPr>
            <w:tcW w:w="689" w:type="pct"/>
            <w:shd w:val="clear" w:color="auto" w:fill="FFFFFF"/>
            <w:vAlign w:val="center"/>
          </w:tcPr>
          <w:p w14:paraId="18336900">
            <w:pPr>
              <w:widowControl/>
              <w:spacing w:line="400" w:lineRule="exact"/>
              <w:jc w:val="center"/>
              <w:rPr>
                <w:rFonts w:ascii="仿宋_GB2312" w:eastAsia="仿宋_GB2312" w:cs="宋体"/>
                <w:color w:val="000000"/>
                <w:sz w:val="24"/>
              </w:rPr>
            </w:pPr>
          </w:p>
        </w:tc>
        <w:tc>
          <w:tcPr>
            <w:tcW w:w="765" w:type="pct"/>
            <w:shd w:val="clear" w:color="auto" w:fill="FFFFFF"/>
            <w:vAlign w:val="center"/>
          </w:tcPr>
          <w:p w14:paraId="0106E1FD">
            <w:pPr>
              <w:widowControl/>
              <w:spacing w:line="400" w:lineRule="exact"/>
              <w:jc w:val="center"/>
              <w:rPr>
                <w:rFonts w:ascii="仿宋_GB2312" w:eastAsia="仿宋_GB2312" w:cs="宋体"/>
                <w:color w:val="000000"/>
                <w:sz w:val="24"/>
              </w:rPr>
            </w:pPr>
          </w:p>
        </w:tc>
      </w:tr>
      <w:tr w14:paraId="6B08C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59" w:type="pct"/>
            <w:vMerge w:val="continue"/>
            <w:vAlign w:val="center"/>
          </w:tcPr>
          <w:p w14:paraId="353F5367">
            <w:pPr>
              <w:spacing w:line="400" w:lineRule="exact"/>
              <w:jc w:val="center"/>
              <w:rPr>
                <w:rFonts w:ascii="仿宋_GB2312" w:eastAsia="仿宋_GB2312" w:cs="宋体"/>
                <w:bCs/>
                <w:color w:val="000000"/>
                <w:kern w:val="0"/>
                <w:sz w:val="24"/>
              </w:rPr>
            </w:pPr>
          </w:p>
        </w:tc>
        <w:tc>
          <w:tcPr>
            <w:tcW w:w="535" w:type="pct"/>
            <w:shd w:val="clear" w:color="auto" w:fill="FFFFFF"/>
            <w:vAlign w:val="center"/>
          </w:tcPr>
          <w:p w14:paraId="43A9284E">
            <w:pPr>
              <w:widowControl/>
              <w:jc w:val="center"/>
              <w:rPr>
                <w:rFonts w:ascii="仿宋_GB2312" w:eastAsia="仿宋_GB2312" w:cs="宋体"/>
                <w:color w:val="000000"/>
                <w:sz w:val="24"/>
              </w:rPr>
            </w:pPr>
            <w:r>
              <w:rPr>
                <w:rFonts w:hint="eastAsia" w:ascii="仿宋_GB2312" w:hAnsi="宋体" w:eastAsia="仿宋_GB2312" w:cs="宋体"/>
                <w:color w:val="000000"/>
                <w:kern w:val="0"/>
                <w:sz w:val="24"/>
              </w:rPr>
              <w:t>3</w:t>
            </w:r>
          </w:p>
        </w:tc>
        <w:tc>
          <w:tcPr>
            <w:tcW w:w="1916" w:type="pct"/>
            <w:shd w:val="clear" w:color="auto" w:fill="FFFFFF"/>
            <w:vAlign w:val="center"/>
          </w:tcPr>
          <w:p w14:paraId="0A7B223B">
            <w:pPr>
              <w:spacing w:line="400" w:lineRule="exact"/>
              <w:jc w:val="center"/>
              <w:rPr>
                <w:rFonts w:ascii="仿宋_GB2312" w:eastAsia="仿宋_GB2312" w:cs="宋体"/>
                <w:color w:val="000000"/>
                <w:sz w:val="24"/>
              </w:rPr>
            </w:pPr>
          </w:p>
        </w:tc>
        <w:tc>
          <w:tcPr>
            <w:tcW w:w="535" w:type="pct"/>
            <w:shd w:val="clear" w:color="auto" w:fill="FFFFFF"/>
            <w:vAlign w:val="center"/>
          </w:tcPr>
          <w:p w14:paraId="33B65E77">
            <w:pPr>
              <w:widowControl/>
              <w:spacing w:line="400" w:lineRule="exact"/>
              <w:jc w:val="center"/>
              <w:rPr>
                <w:rFonts w:ascii="仿宋_GB2312" w:eastAsia="仿宋_GB2312" w:cs="宋体"/>
                <w:color w:val="000000"/>
                <w:sz w:val="24"/>
              </w:rPr>
            </w:pPr>
          </w:p>
        </w:tc>
        <w:tc>
          <w:tcPr>
            <w:tcW w:w="689" w:type="pct"/>
            <w:shd w:val="clear" w:color="auto" w:fill="FFFFFF"/>
            <w:vAlign w:val="center"/>
          </w:tcPr>
          <w:p w14:paraId="6DA156C9">
            <w:pPr>
              <w:widowControl/>
              <w:spacing w:line="400" w:lineRule="exact"/>
              <w:jc w:val="center"/>
              <w:rPr>
                <w:rFonts w:ascii="仿宋_GB2312" w:eastAsia="仿宋_GB2312" w:cs="宋体"/>
                <w:color w:val="000000"/>
                <w:sz w:val="24"/>
              </w:rPr>
            </w:pPr>
          </w:p>
        </w:tc>
        <w:tc>
          <w:tcPr>
            <w:tcW w:w="765" w:type="pct"/>
            <w:shd w:val="clear" w:color="auto" w:fill="FFFFFF"/>
            <w:vAlign w:val="center"/>
          </w:tcPr>
          <w:p w14:paraId="123972EE">
            <w:pPr>
              <w:widowControl/>
              <w:spacing w:line="400" w:lineRule="exact"/>
              <w:jc w:val="center"/>
              <w:rPr>
                <w:rFonts w:ascii="仿宋_GB2312" w:eastAsia="仿宋_GB2312" w:cs="宋体"/>
                <w:color w:val="000000"/>
                <w:sz w:val="24"/>
              </w:rPr>
            </w:pPr>
          </w:p>
        </w:tc>
      </w:tr>
      <w:tr w14:paraId="450D3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59" w:type="pct"/>
            <w:vMerge w:val="continue"/>
            <w:vAlign w:val="center"/>
          </w:tcPr>
          <w:p w14:paraId="4D798838">
            <w:pPr>
              <w:spacing w:line="400" w:lineRule="exact"/>
              <w:jc w:val="center"/>
              <w:rPr>
                <w:rFonts w:ascii="仿宋_GB2312" w:eastAsia="仿宋_GB2312" w:cs="宋体"/>
                <w:bCs/>
                <w:color w:val="000000"/>
                <w:kern w:val="0"/>
                <w:sz w:val="24"/>
              </w:rPr>
            </w:pPr>
          </w:p>
        </w:tc>
        <w:tc>
          <w:tcPr>
            <w:tcW w:w="535" w:type="pct"/>
            <w:shd w:val="clear" w:color="auto" w:fill="FFFFFF"/>
            <w:vAlign w:val="center"/>
          </w:tcPr>
          <w:p w14:paraId="7A827B41">
            <w:pPr>
              <w:widowControl/>
              <w:jc w:val="center"/>
              <w:rPr>
                <w:rFonts w:ascii="仿宋_GB2312" w:eastAsia="仿宋_GB2312" w:cs="宋体"/>
                <w:color w:val="000000"/>
                <w:sz w:val="24"/>
              </w:rPr>
            </w:pPr>
            <w:r>
              <w:rPr>
                <w:rFonts w:hint="eastAsia" w:ascii="仿宋_GB2312" w:eastAsia="仿宋_GB2312" w:cs="宋体"/>
                <w:color w:val="000000"/>
                <w:kern w:val="0"/>
                <w:sz w:val="24"/>
              </w:rPr>
              <w:t>…</w:t>
            </w:r>
          </w:p>
        </w:tc>
        <w:tc>
          <w:tcPr>
            <w:tcW w:w="1916" w:type="pct"/>
            <w:shd w:val="clear" w:color="auto" w:fill="FFFFFF"/>
            <w:vAlign w:val="center"/>
          </w:tcPr>
          <w:p w14:paraId="0BF7D124">
            <w:pPr>
              <w:widowControl/>
              <w:spacing w:line="400" w:lineRule="exact"/>
              <w:jc w:val="center"/>
              <w:rPr>
                <w:rFonts w:ascii="仿宋_GB2312" w:eastAsia="仿宋_GB2312" w:cs="宋体"/>
                <w:color w:val="000000"/>
                <w:sz w:val="24"/>
              </w:rPr>
            </w:pPr>
          </w:p>
        </w:tc>
        <w:tc>
          <w:tcPr>
            <w:tcW w:w="535" w:type="pct"/>
            <w:shd w:val="clear" w:color="auto" w:fill="FFFFFF"/>
            <w:vAlign w:val="center"/>
          </w:tcPr>
          <w:p w14:paraId="6073C790">
            <w:pPr>
              <w:widowControl/>
              <w:spacing w:line="400" w:lineRule="exact"/>
              <w:jc w:val="center"/>
              <w:rPr>
                <w:rFonts w:ascii="仿宋_GB2312" w:eastAsia="仿宋_GB2312" w:cs="宋体"/>
                <w:color w:val="000000"/>
                <w:sz w:val="24"/>
              </w:rPr>
            </w:pPr>
          </w:p>
        </w:tc>
        <w:tc>
          <w:tcPr>
            <w:tcW w:w="689" w:type="pct"/>
            <w:shd w:val="clear" w:color="auto" w:fill="FFFFFF"/>
            <w:vAlign w:val="center"/>
          </w:tcPr>
          <w:p w14:paraId="185FBF4B">
            <w:pPr>
              <w:widowControl/>
              <w:spacing w:line="400" w:lineRule="exact"/>
              <w:jc w:val="center"/>
              <w:rPr>
                <w:rFonts w:ascii="仿宋_GB2312" w:eastAsia="仿宋_GB2312" w:cs="宋体"/>
                <w:color w:val="000000"/>
                <w:sz w:val="24"/>
              </w:rPr>
            </w:pPr>
          </w:p>
        </w:tc>
        <w:tc>
          <w:tcPr>
            <w:tcW w:w="765" w:type="pct"/>
            <w:shd w:val="clear" w:color="auto" w:fill="FFFFFF"/>
            <w:vAlign w:val="center"/>
          </w:tcPr>
          <w:p w14:paraId="79635663">
            <w:pPr>
              <w:widowControl/>
              <w:spacing w:line="400" w:lineRule="exact"/>
              <w:jc w:val="center"/>
              <w:rPr>
                <w:rFonts w:ascii="仿宋_GB2312" w:eastAsia="仿宋_GB2312" w:cs="宋体"/>
                <w:color w:val="000000"/>
                <w:sz w:val="24"/>
              </w:rPr>
            </w:pPr>
          </w:p>
        </w:tc>
      </w:tr>
      <w:tr w14:paraId="2DC19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59" w:type="pct"/>
            <w:vMerge w:val="continue"/>
            <w:vAlign w:val="center"/>
          </w:tcPr>
          <w:p w14:paraId="36100693">
            <w:pPr>
              <w:spacing w:line="400" w:lineRule="exact"/>
              <w:jc w:val="center"/>
              <w:rPr>
                <w:rFonts w:ascii="仿宋_GB2312" w:eastAsia="仿宋_GB2312" w:cs="宋体"/>
                <w:bCs/>
                <w:color w:val="000000"/>
                <w:kern w:val="0"/>
                <w:sz w:val="24"/>
              </w:rPr>
            </w:pPr>
          </w:p>
        </w:tc>
        <w:tc>
          <w:tcPr>
            <w:tcW w:w="535" w:type="pct"/>
            <w:shd w:val="clear" w:color="auto" w:fill="FFFFFF"/>
            <w:vAlign w:val="center"/>
          </w:tcPr>
          <w:p w14:paraId="310E29D8">
            <w:pPr>
              <w:widowControl/>
              <w:jc w:val="center"/>
              <w:rPr>
                <w:rFonts w:ascii="仿宋_GB2312" w:eastAsia="仿宋_GB2312" w:cs="宋体"/>
                <w:color w:val="000000"/>
                <w:sz w:val="24"/>
              </w:rPr>
            </w:pPr>
            <w:r>
              <w:rPr>
                <w:rFonts w:hint="eastAsia" w:ascii="仿宋_GB2312" w:eastAsia="仿宋_GB2312" w:cs="宋体"/>
                <w:color w:val="000000"/>
                <w:kern w:val="0"/>
                <w:sz w:val="24"/>
              </w:rPr>
              <w:t>…</w:t>
            </w:r>
          </w:p>
        </w:tc>
        <w:tc>
          <w:tcPr>
            <w:tcW w:w="1916" w:type="pct"/>
            <w:shd w:val="clear" w:color="auto" w:fill="FFFFFF"/>
            <w:vAlign w:val="center"/>
          </w:tcPr>
          <w:p w14:paraId="59045521">
            <w:pPr>
              <w:spacing w:line="400" w:lineRule="exact"/>
              <w:jc w:val="center"/>
              <w:rPr>
                <w:rFonts w:ascii="仿宋_GB2312" w:eastAsia="仿宋_GB2312" w:cs="宋体"/>
                <w:color w:val="000000"/>
                <w:sz w:val="24"/>
              </w:rPr>
            </w:pPr>
          </w:p>
        </w:tc>
        <w:tc>
          <w:tcPr>
            <w:tcW w:w="535" w:type="pct"/>
            <w:shd w:val="clear" w:color="auto" w:fill="FFFFFF"/>
            <w:vAlign w:val="center"/>
          </w:tcPr>
          <w:p w14:paraId="427B2EF2">
            <w:pPr>
              <w:widowControl/>
              <w:spacing w:line="400" w:lineRule="exact"/>
              <w:jc w:val="center"/>
              <w:rPr>
                <w:rFonts w:ascii="仿宋_GB2312" w:eastAsia="仿宋_GB2312" w:cs="宋体"/>
                <w:color w:val="000000"/>
                <w:sz w:val="24"/>
              </w:rPr>
            </w:pPr>
          </w:p>
        </w:tc>
        <w:tc>
          <w:tcPr>
            <w:tcW w:w="689" w:type="pct"/>
            <w:shd w:val="clear" w:color="auto" w:fill="FFFFFF"/>
            <w:vAlign w:val="center"/>
          </w:tcPr>
          <w:p w14:paraId="640028A6">
            <w:pPr>
              <w:widowControl/>
              <w:spacing w:line="400" w:lineRule="exact"/>
              <w:jc w:val="center"/>
              <w:rPr>
                <w:rFonts w:ascii="仿宋_GB2312" w:eastAsia="仿宋_GB2312" w:cs="宋体"/>
                <w:color w:val="000000"/>
                <w:sz w:val="24"/>
              </w:rPr>
            </w:pPr>
          </w:p>
        </w:tc>
        <w:tc>
          <w:tcPr>
            <w:tcW w:w="765" w:type="pct"/>
            <w:shd w:val="clear" w:color="auto" w:fill="FFFFFF"/>
            <w:vAlign w:val="center"/>
          </w:tcPr>
          <w:p w14:paraId="75D1ED23">
            <w:pPr>
              <w:widowControl/>
              <w:spacing w:line="400" w:lineRule="exact"/>
              <w:jc w:val="center"/>
              <w:rPr>
                <w:rFonts w:ascii="仿宋_GB2312" w:eastAsia="仿宋_GB2312" w:cs="宋体"/>
                <w:color w:val="000000"/>
                <w:sz w:val="24"/>
              </w:rPr>
            </w:pPr>
          </w:p>
        </w:tc>
      </w:tr>
      <w:tr w14:paraId="64605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94" w:type="pct"/>
            <w:gridSpan w:val="2"/>
            <w:vAlign w:val="center"/>
          </w:tcPr>
          <w:p w14:paraId="593A31AA">
            <w:pPr>
              <w:widowControl/>
              <w:jc w:val="center"/>
              <w:rPr>
                <w:rFonts w:ascii="仿宋_GB2312" w:eastAsia="仿宋_GB2312" w:cs="宋体"/>
                <w:color w:val="000000"/>
                <w:kern w:val="0"/>
                <w:sz w:val="24"/>
              </w:rPr>
            </w:pPr>
            <w:r>
              <w:rPr>
                <w:rFonts w:hint="eastAsia" w:ascii="仿宋_GB2312" w:hAnsi="宋体" w:eastAsia="仿宋_GB2312" w:cs="宋体"/>
                <w:color w:val="000000"/>
                <w:kern w:val="0"/>
                <w:sz w:val="24"/>
              </w:rPr>
              <w:t>合计</w:t>
            </w:r>
          </w:p>
        </w:tc>
        <w:tc>
          <w:tcPr>
            <w:tcW w:w="3906" w:type="pct"/>
            <w:gridSpan w:val="4"/>
            <w:shd w:val="clear" w:color="auto" w:fill="FFFFFF"/>
            <w:vAlign w:val="center"/>
          </w:tcPr>
          <w:p w14:paraId="5933CAA4">
            <w:pPr>
              <w:widowControl/>
              <w:spacing w:line="400" w:lineRule="exact"/>
              <w:rPr>
                <w:rFonts w:ascii="仿宋_GB2312" w:eastAsia="仿宋_GB2312" w:cs="宋体"/>
                <w:color w:val="000000"/>
                <w:sz w:val="24"/>
              </w:rPr>
            </w:pPr>
            <w:r>
              <w:rPr>
                <w:rFonts w:hint="eastAsia" w:ascii="仿宋_GB2312" w:hAnsi="宋体" w:eastAsia="仿宋_GB2312" w:cs="宋体"/>
                <w:bCs/>
                <w:color w:val="000000"/>
                <w:sz w:val="24"/>
              </w:rPr>
              <w:t>人民币          元整（</w:t>
            </w:r>
            <w:r>
              <w:rPr>
                <w:rFonts w:hint="eastAsia" w:ascii="仿宋_GB2312" w:eastAsia="仿宋_GB2312" w:cs="宋体"/>
                <w:bCs/>
                <w:color w:val="000000"/>
                <w:sz w:val="24"/>
              </w:rPr>
              <w:t>¥</w:t>
            </w:r>
            <w:r>
              <w:rPr>
                <w:rFonts w:hint="eastAsia" w:ascii="仿宋_GB2312" w:hAnsi="宋体" w:eastAsia="仿宋_GB2312" w:cs="宋体"/>
                <w:bCs/>
                <w:color w:val="000000"/>
                <w:sz w:val="24"/>
              </w:rPr>
              <w:t xml:space="preserve">      ）</w:t>
            </w:r>
          </w:p>
        </w:tc>
      </w:tr>
    </w:tbl>
    <w:p w14:paraId="27671102">
      <w:pPr>
        <w:spacing w:line="360" w:lineRule="auto"/>
        <w:jc w:val="left"/>
        <w:rPr>
          <w:rFonts w:ascii="仿宋_GB2312" w:hAnsi="宋体" w:eastAsia="仿宋_GB2312"/>
          <w:b/>
          <w:bCs w:val="0"/>
          <w:sz w:val="24"/>
        </w:rPr>
      </w:pPr>
      <w:r>
        <w:rPr>
          <w:rFonts w:hint="eastAsia" w:ascii="仿宋_GB2312" w:hAnsi="宋体" w:eastAsia="仿宋_GB2312"/>
          <w:b/>
          <w:bCs w:val="0"/>
          <w:sz w:val="24"/>
          <w:lang w:val="en-US" w:eastAsia="zh-CN"/>
        </w:rPr>
        <w:t>二、</w:t>
      </w:r>
      <w:r>
        <w:rPr>
          <w:rFonts w:hint="eastAsia" w:ascii="仿宋_GB2312" w:hAnsi="宋体" w:eastAsia="仿宋_GB2312"/>
          <w:b/>
          <w:bCs w:val="0"/>
          <w:sz w:val="24"/>
        </w:rPr>
        <w:t>资格要求</w:t>
      </w:r>
    </w:p>
    <w:p w14:paraId="7E93B839">
      <w:pPr>
        <w:spacing w:line="360" w:lineRule="auto"/>
        <w:ind w:firstLine="480" w:firstLineChars="200"/>
        <w:jc w:val="left"/>
        <w:rPr>
          <w:rFonts w:ascii="仿宋" w:hAnsi="仿宋" w:eastAsia="仿宋"/>
          <w:bCs/>
          <w:sz w:val="24"/>
        </w:rPr>
      </w:pPr>
      <w:r>
        <w:rPr>
          <w:rFonts w:hint="eastAsia" w:ascii="仿宋" w:hAnsi="仿宋" w:eastAsia="仿宋"/>
          <w:bCs/>
          <w:sz w:val="24"/>
        </w:rPr>
        <w:t>1</w:t>
      </w:r>
      <w:r>
        <w:rPr>
          <w:rFonts w:hint="eastAsia" w:ascii="仿宋" w:hAnsi="仿宋" w:eastAsia="仿宋"/>
          <w:bCs/>
          <w:sz w:val="24"/>
          <w:lang w:eastAsia="zh-CN"/>
        </w:rPr>
        <w:t>.</w:t>
      </w:r>
      <w:r>
        <w:rPr>
          <w:rFonts w:hint="eastAsia" w:ascii="仿宋" w:hAnsi="仿宋" w:eastAsia="仿宋"/>
          <w:bCs/>
          <w:sz w:val="24"/>
        </w:rPr>
        <w:t>《中华人民共和国政府采购法》第二十二条规定的供应商参加政府采购活动应当具备条件。</w:t>
      </w:r>
    </w:p>
    <w:p w14:paraId="0BC28B1E">
      <w:pPr>
        <w:spacing w:line="360" w:lineRule="auto"/>
        <w:ind w:firstLine="480" w:firstLineChars="200"/>
        <w:jc w:val="left"/>
        <w:rPr>
          <w:rFonts w:ascii="仿宋_GB2312" w:hAnsi="宋体" w:eastAsia="仿宋_GB2312"/>
          <w:bCs/>
          <w:color w:val="FF0000"/>
          <w:sz w:val="24"/>
        </w:rPr>
      </w:pPr>
      <w:r>
        <w:rPr>
          <w:rFonts w:ascii="仿宋" w:hAnsi="仿宋" w:eastAsia="仿宋"/>
          <w:bCs/>
          <w:sz w:val="24"/>
        </w:rPr>
        <w:t>2</w:t>
      </w:r>
      <w:r>
        <w:rPr>
          <w:rFonts w:hint="eastAsia" w:ascii="仿宋" w:hAnsi="仿宋" w:eastAsia="仿宋"/>
          <w:bCs/>
          <w:sz w:val="24"/>
          <w:lang w:eastAsia="zh-CN"/>
        </w:rPr>
        <w:t>.</w:t>
      </w:r>
      <w:r>
        <w:rPr>
          <w:rFonts w:hint="eastAsia" w:ascii="仿宋" w:hAnsi="仿宋" w:eastAsia="仿宋"/>
          <w:bCs/>
          <w:sz w:val="24"/>
          <w:lang w:val="en-US" w:eastAsia="zh-CN"/>
        </w:rPr>
        <w:t>采购</w:t>
      </w:r>
      <w:r>
        <w:rPr>
          <w:rFonts w:hint="eastAsia" w:ascii="仿宋" w:hAnsi="仿宋" w:eastAsia="仿宋"/>
          <w:bCs/>
          <w:sz w:val="24"/>
        </w:rPr>
        <w:t>包_</w:t>
      </w:r>
      <w:r>
        <w:rPr>
          <w:rFonts w:ascii="仿宋" w:hAnsi="仿宋" w:eastAsia="仿宋"/>
          <w:bCs/>
          <w:sz w:val="24"/>
        </w:rPr>
        <w:t>__:</w:t>
      </w:r>
      <w:r>
        <w:rPr>
          <w:rFonts w:hint="eastAsia" w:ascii="仿宋" w:hAnsi="仿宋" w:eastAsia="仿宋"/>
          <w:bCs/>
          <w:sz w:val="24"/>
        </w:rPr>
        <w:t>□</w:t>
      </w:r>
      <w:r>
        <w:rPr>
          <w:rFonts w:hint="eastAsia" w:ascii="仿宋_GB2312" w:hAnsi="宋体" w:eastAsia="仿宋_GB2312"/>
          <w:bCs/>
          <w:sz w:val="24"/>
        </w:rPr>
        <w:t>专门面向中小企业</w:t>
      </w:r>
      <w:r>
        <w:rPr>
          <w:rFonts w:hint="eastAsia" w:ascii="仿宋_GB2312" w:hAnsi="宋体" w:eastAsia="仿宋_GB2312"/>
          <w:bCs/>
          <w:color w:val="FF0000"/>
          <w:sz w:val="24"/>
        </w:rPr>
        <w:t>（若本</w:t>
      </w:r>
      <w:r>
        <w:rPr>
          <w:rFonts w:hint="eastAsia" w:ascii="仿宋_GB2312" w:hAnsi="宋体" w:eastAsia="仿宋_GB2312"/>
          <w:bCs/>
          <w:color w:val="FF0000"/>
          <w:sz w:val="24"/>
          <w:lang w:eastAsia="zh-CN"/>
        </w:rPr>
        <w:t>采购包</w:t>
      </w:r>
      <w:r>
        <w:rPr>
          <w:rFonts w:hint="eastAsia" w:ascii="仿宋_GB2312" w:hAnsi="宋体" w:eastAsia="仿宋_GB2312"/>
          <w:bCs/>
          <w:color w:val="FF0000"/>
          <w:sz w:val="24"/>
        </w:rPr>
        <w:t>专门面向中小企业，请在前面方框中打“</w:t>
      </w:r>
      <w:r>
        <w:rPr>
          <w:rFonts w:hint="eastAsia" w:ascii="仿宋" w:hAnsi="仿宋" w:eastAsia="仿宋"/>
          <w:bCs/>
          <w:color w:val="FF0000"/>
          <w:sz w:val="24"/>
        </w:rPr>
        <w:t>√</w:t>
      </w:r>
      <w:r>
        <w:rPr>
          <w:rFonts w:hint="eastAsia" w:ascii="仿宋_GB2312" w:hAnsi="宋体" w:eastAsia="仿宋_GB2312"/>
          <w:bCs/>
          <w:color w:val="FF0000"/>
          <w:sz w:val="24"/>
        </w:rPr>
        <w:t>”）</w:t>
      </w:r>
    </w:p>
    <w:p w14:paraId="5D317197">
      <w:pPr>
        <w:spacing w:line="360" w:lineRule="auto"/>
        <w:ind w:firstLine="240" w:firstLineChars="100"/>
        <w:jc w:val="left"/>
        <w:rPr>
          <w:rFonts w:ascii="仿宋_GB2312" w:hAnsi="宋体" w:eastAsia="仿宋_GB2312"/>
          <w:bCs/>
          <w:color w:val="FF0000"/>
          <w:sz w:val="24"/>
        </w:rPr>
      </w:pPr>
      <w:r>
        <w:rPr>
          <w:rFonts w:hint="eastAsia" w:ascii="仿宋_GB2312" w:hAnsi="宋体" w:eastAsia="仿宋_GB2312"/>
          <w:bCs/>
          <w:color w:val="FF0000"/>
          <w:sz w:val="24"/>
        </w:rPr>
        <w:t>以此类推其他</w:t>
      </w:r>
      <w:r>
        <w:rPr>
          <w:rFonts w:hint="eastAsia" w:ascii="仿宋_GB2312" w:hAnsi="宋体" w:eastAsia="仿宋_GB2312"/>
          <w:bCs/>
          <w:color w:val="FF0000"/>
          <w:sz w:val="24"/>
          <w:lang w:eastAsia="zh-CN"/>
        </w:rPr>
        <w:t>采购包</w:t>
      </w:r>
      <w:r>
        <w:rPr>
          <w:rFonts w:hint="eastAsia" w:ascii="仿宋_GB2312" w:hAnsi="宋体" w:eastAsia="仿宋_GB2312"/>
          <w:bCs/>
          <w:color w:val="FF0000"/>
          <w:sz w:val="24"/>
        </w:rPr>
        <w:t>。</w:t>
      </w:r>
    </w:p>
    <w:p w14:paraId="6B053498">
      <w:pPr>
        <w:spacing w:line="360" w:lineRule="auto"/>
        <w:ind w:firstLine="240" w:firstLineChars="100"/>
        <w:jc w:val="left"/>
        <w:rPr>
          <w:rFonts w:ascii="仿宋_GB2312" w:hAnsi="宋体" w:eastAsia="仿宋_GB2312"/>
          <w:bCs/>
          <w:color w:val="FF0000"/>
          <w:sz w:val="24"/>
        </w:rPr>
      </w:pPr>
      <w:r>
        <w:rPr>
          <w:rFonts w:hint="eastAsia" w:ascii="仿宋_GB2312" w:hAnsi="宋体" w:eastAsia="仿宋_GB2312"/>
          <w:bCs/>
          <w:color w:val="FF0000"/>
          <w:sz w:val="24"/>
        </w:rPr>
        <w:t>注：根据《政府采购促进中小企业发展管理办法》（财库〔2020〕46号）的第六条、第七条和第八条要求，2</w:t>
      </w:r>
      <w:r>
        <w:rPr>
          <w:rFonts w:ascii="仿宋_GB2312" w:hAnsi="宋体" w:eastAsia="仿宋_GB2312"/>
          <w:bCs/>
          <w:color w:val="FF0000"/>
          <w:sz w:val="24"/>
        </w:rPr>
        <w:t>00</w:t>
      </w:r>
      <w:r>
        <w:rPr>
          <w:rFonts w:hint="eastAsia" w:ascii="仿宋_GB2312" w:hAnsi="宋体" w:eastAsia="仿宋_GB2312"/>
          <w:bCs/>
          <w:color w:val="FF0000"/>
          <w:sz w:val="24"/>
        </w:rPr>
        <w:t>万元以下的货物和服务项目，适宜面向中小企业应当专门面向中小企业采购。2</w:t>
      </w:r>
      <w:r>
        <w:rPr>
          <w:rFonts w:ascii="仿宋_GB2312" w:hAnsi="宋体" w:eastAsia="仿宋_GB2312"/>
          <w:bCs/>
          <w:color w:val="FF0000"/>
          <w:sz w:val="24"/>
        </w:rPr>
        <w:t>00</w:t>
      </w:r>
      <w:r>
        <w:rPr>
          <w:rFonts w:hint="eastAsia" w:ascii="仿宋_GB2312" w:hAnsi="宋体" w:eastAsia="仿宋_GB2312"/>
          <w:bCs/>
          <w:color w:val="FF0000"/>
          <w:sz w:val="24"/>
        </w:rPr>
        <w:t xml:space="preserve">万元以上的货物和服务项目，应至少预留预留该部分采购项目预算总额的 </w:t>
      </w:r>
      <w:r>
        <w:rPr>
          <w:rFonts w:ascii="仿宋_GB2312" w:hAnsi="宋体" w:eastAsia="仿宋_GB2312"/>
          <w:bCs/>
          <w:color w:val="FF0000"/>
          <w:sz w:val="24"/>
        </w:rPr>
        <w:t>4</w:t>
      </w:r>
      <w:r>
        <w:rPr>
          <w:rFonts w:hint="eastAsia" w:ascii="仿宋_GB2312" w:hAnsi="宋体" w:eastAsia="仿宋_GB2312"/>
          <w:bCs/>
          <w:color w:val="FF0000"/>
          <w:sz w:val="24"/>
        </w:rPr>
        <w:t>0%以上专门面向中小企业采购，其中预留给小微企业的比例不低于 60%。</w:t>
      </w:r>
    </w:p>
    <w:p w14:paraId="25F39CF0">
      <w:pPr>
        <w:spacing w:line="360" w:lineRule="auto"/>
        <w:ind w:firstLine="480" w:firstLineChars="200"/>
        <w:jc w:val="left"/>
        <w:rPr>
          <w:rFonts w:ascii="仿宋_GB2312" w:hAnsi="宋体" w:eastAsia="仿宋_GB2312"/>
          <w:bCs/>
          <w:color w:val="FF0000"/>
          <w:sz w:val="24"/>
        </w:rPr>
      </w:pPr>
      <w:r>
        <w:rPr>
          <w:rFonts w:hint="eastAsia" w:ascii="仿宋_GB2312" w:hAnsi="宋体" w:eastAsia="仿宋_GB2312"/>
          <w:bCs/>
          <w:color w:val="FF0000"/>
          <w:sz w:val="24"/>
        </w:rPr>
        <w:t>中小企业的定义详见本办法第四条规定。若不能专门面向中小企业的，应根据《政府采购促进中小企业发展管理办法》（财库〔2020〕46号）第六条“可不专门面向中小企业预留采购份额的适用情形”编制说明函提交我中心。</w:t>
      </w:r>
    </w:p>
    <w:p w14:paraId="51CB8665">
      <w:pPr>
        <w:spacing w:line="360" w:lineRule="auto"/>
        <w:ind w:firstLine="480" w:firstLineChars="200"/>
        <w:jc w:val="left"/>
        <w:rPr>
          <w:rFonts w:ascii="仿宋_GB2312" w:hAnsi="宋体" w:eastAsia="仿宋_GB2312"/>
          <w:bCs/>
          <w:color w:val="FF0000"/>
          <w:sz w:val="24"/>
        </w:rPr>
      </w:pPr>
      <w:r>
        <w:rPr>
          <w:rFonts w:hint="eastAsia" w:ascii="仿宋" w:hAnsi="仿宋" w:eastAsia="仿宋"/>
          <w:bCs/>
          <w:sz w:val="24"/>
          <w:lang w:val="en-US" w:eastAsia="zh-CN"/>
        </w:rPr>
        <w:t>3.</w:t>
      </w:r>
      <w:r>
        <w:rPr>
          <w:rFonts w:hint="eastAsia" w:ascii="仿宋_GB2312" w:hAnsi="宋体" w:eastAsia="仿宋_GB2312"/>
          <w:bCs/>
          <w:color w:val="000000" w:themeColor="text1"/>
          <w:sz w:val="24"/>
        </w:rPr>
        <w:t>特殊资格要求：</w:t>
      </w:r>
      <w:r>
        <w:rPr>
          <w:rFonts w:hint="eastAsia" w:ascii="仿宋_GB2312" w:hAnsi="宋体" w:eastAsia="仿宋_GB2312"/>
          <w:bCs/>
          <w:color w:val="FF0000"/>
          <w:sz w:val="24"/>
        </w:rPr>
        <w:t>（特殊资格要求填写的内容必须是国家强制准入资格类的要求或者允许分包的资格要求，若不是或者不要求则填写“无”）</w:t>
      </w:r>
    </w:p>
    <w:p w14:paraId="2EFE93E3">
      <w:pPr>
        <w:spacing w:line="360" w:lineRule="auto"/>
        <w:ind w:firstLine="480" w:firstLineChars="200"/>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lang w:val="en-US" w:eastAsia="zh-CN"/>
        </w:rPr>
        <w:t>4.</w:t>
      </w:r>
      <w:r>
        <w:rPr>
          <w:rFonts w:hint="eastAsia" w:ascii="仿宋_GB2312" w:hAnsi="宋体" w:eastAsia="仿宋_GB2312"/>
          <w:bCs/>
          <w:color w:val="000000" w:themeColor="text1"/>
          <w:sz w:val="24"/>
        </w:rPr>
        <w:t>是否接受联合体：</w:t>
      </w:r>
    </w:p>
    <w:p w14:paraId="2F2B6EE2">
      <w:pPr>
        <w:spacing w:line="360" w:lineRule="auto"/>
        <w:ind w:firstLine="240" w:firstLineChars="100"/>
        <w:jc w:val="left"/>
        <w:rPr>
          <w:rFonts w:ascii="仿宋" w:hAnsi="仿宋" w:eastAsia="仿宋"/>
          <w:bCs/>
          <w:sz w:val="24"/>
        </w:rPr>
      </w:pPr>
      <w:r>
        <w:rPr>
          <w:rFonts w:hint="eastAsia" w:ascii="仿宋" w:hAnsi="仿宋" w:eastAsia="仿宋"/>
          <w:bCs/>
          <w:sz w:val="24"/>
        </w:rPr>
        <w:t>□接受。</w:t>
      </w:r>
    </w:p>
    <w:p w14:paraId="6B2920F4">
      <w:pPr>
        <w:spacing w:line="360" w:lineRule="auto"/>
        <w:ind w:firstLine="480" w:firstLineChars="200"/>
        <w:jc w:val="left"/>
        <w:rPr>
          <w:rFonts w:ascii="仿宋" w:hAnsi="仿宋" w:eastAsia="仿宋"/>
          <w:bCs/>
          <w:sz w:val="24"/>
        </w:rPr>
      </w:pPr>
      <w:r>
        <w:rPr>
          <w:rFonts w:hint="eastAsia" w:ascii="仿宋" w:hAnsi="仿宋" w:eastAsia="仿宋"/>
          <w:bCs/>
          <w:sz w:val="24"/>
        </w:rPr>
        <w:t>①联合体成员（含牵头人）不超过</w:t>
      </w:r>
      <w:r>
        <w:rPr>
          <w:rFonts w:ascii="仿宋" w:hAnsi="仿宋" w:eastAsia="仿宋"/>
          <w:bCs/>
          <w:sz w:val="24"/>
        </w:rPr>
        <w:t>____</w:t>
      </w:r>
      <w:r>
        <w:rPr>
          <w:rFonts w:hint="eastAsia" w:ascii="仿宋" w:hAnsi="仿宋" w:eastAsia="仿宋"/>
          <w:bCs/>
          <w:sz w:val="24"/>
        </w:rPr>
        <w:t xml:space="preserve">家。 </w:t>
      </w:r>
    </w:p>
    <w:p w14:paraId="03C21C2F">
      <w:pPr>
        <w:spacing w:line="360" w:lineRule="auto"/>
        <w:ind w:firstLine="480" w:firstLineChars="200"/>
        <w:jc w:val="left"/>
        <w:rPr>
          <w:rFonts w:ascii="仿宋_GB2312" w:hAnsi="宋体" w:eastAsia="仿宋_GB2312"/>
          <w:bCs/>
          <w:sz w:val="24"/>
        </w:rPr>
      </w:pPr>
      <w:r>
        <w:rPr>
          <w:rFonts w:hint="eastAsia" w:ascii="仿宋" w:hAnsi="仿宋" w:eastAsia="仿宋"/>
          <w:bCs/>
          <w:sz w:val="24"/>
        </w:rPr>
        <w:t>②资质要求_</w:t>
      </w:r>
      <w:r>
        <w:rPr>
          <w:rFonts w:ascii="仿宋" w:hAnsi="仿宋" w:eastAsia="仿宋"/>
          <w:bCs/>
          <w:sz w:val="24"/>
        </w:rPr>
        <w:t>____________________________________</w:t>
      </w:r>
    </w:p>
    <w:p w14:paraId="0D7C5E12">
      <w:pPr>
        <w:spacing w:line="360" w:lineRule="auto"/>
        <w:ind w:firstLine="240" w:firstLineChars="100"/>
        <w:jc w:val="left"/>
        <w:rPr>
          <w:rFonts w:hint="eastAsia" w:ascii="仿宋" w:hAnsi="仿宋" w:eastAsia="仿宋"/>
          <w:bCs/>
          <w:sz w:val="24"/>
        </w:rPr>
      </w:pPr>
      <w:r>
        <w:rPr>
          <w:rFonts w:hint="eastAsia" w:ascii="仿宋" w:hAnsi="仿宋" w:eastAsia="仿宋"/>
          <w:bCs/>
          <w:sz w:val="24"/>
        </w:rPr>
        <w:t>□不接受。</w:t>
      </w:r>
    </w:p>
    <w:p w14:paraId="74B2FFC0">
      <w:pPr>
        <w:numPr>
          <w:ilvl w:val="0"/>
          <w:numId w:val="0"/>
        </w:numPr>
        <w:spacing w:line="360" w:lineRule="auto"/>
        <w:jc w:val="left"/>
        <w:rPr>
          <w:rFonts w:hint="eastAsia" w:ascii="仿宋" w:hAnsi="仿宋" w:eastAsia="仿宋"/>
          <w:bCs/>
          <w:color w:val="FF0000"/>
          <w:sz w:val="24"/>
          <w:lang w:val="en-US" w:eastAsia="zh-CN"/>
        </w:rPr>
      </w:pPr>
      <w:r>
        <w:rPr>
          <w:rFonts w:hint="eastAsia" w:ascii="仿宋" w:hAnsi="仿宋" w:eastAsia="仿宋"/>
          <w:b/>
          <w:bCs w:val="0"/>
          <w:sz w:val="24"/>
          <w:lang w:val="en-US" w:eastAsia="zh-CN"/>
        </w:rPr>
        <w:t>三、项目概况</w:t>
      </w:r>
      <w:r>
        <w:rPr>
          <w:rFonts w:hint="eastAsia" w:ascii="仿宋" w:hAnsi="仿宋" w:eastAsia="仿宋"/>
          <w:bCs/>
          <w:color w:val="FF0000"/>
          <w:sz w:val="24"/>
          <w:lang w:val="en-US" w:eastAsia="zh-CN"/>
        </w:rPr>
        <w:t>（若有，非必须要求）</w:t>
      </w:r>
    </w:p>
    <w:p w14:paraId="474010DF">
      <w:pPr>
        <w:numPr>
          <w:ilvl w:val="0"/>
          <w:numId w:val="0"/>
        </w:numPr>
        <w:spacing w:line="360" w:lineRule="auto"/>
        <w:jc w:val="left"/>
        <w:rPr>
          <w:rFonts w:hint="default" w:ascii="仿宋" w:hAnsi="仿宋" w:eastAsia="仿宋"/>
          <w:bCs/>
          <w:color w:val="FF0000"/>
          <w:sz w:val="24"/>
          <w:lang w:val="en-US" w:eastAsia="zh-CN"/>
        </w:rPr>
      </w:pPr>
      <w:r>
        <w:rPr>
          <w:rFonts w:hint="eastAsia" w:ascii="仿宋" w:hAnsi="仿宋" w:eastAsia="仿宋"/>
          <w:bCs/>
          <w:color w:val="FF0000"/>
          <w:sz w:val="24"/>
          <w:lang w:val="en-US" w:eastAsia="zh-CN"/>
        </w:rPr>
        <w:t>如项目背景、建设目标（或采购目的）、项目运行模式等</w:t>
      </w:r>
    </w:p>
    <w:p w14:paraId="07E8A85B">
      <w:pPr>
        <w:spacing w:line="360" w:lineRule="auto"/>
        <w:jc w:val="left"/>
        <w:rPr>
          <w:rFonts w:hint="default" w:ascii="仿宋_GB2312" w:hAnsi="宋体" w:eastAsia="仿宋_GB2312"/>
          <w:bCs/>
          <w:sz w:val="24"/>
          <w:lang w:val="en-US" w:eastAsia="zh-CN"/>
        </w:rPr>
      </w:pPr>
      <w:r>
        <w:rPr>
          <w:rFonts w:hint="eastAsia" w:ascii="仿宋_GB2312" w:hAnsi="宋体" w:eastAsia="仿宋_GB2312"/>
          <w:b/>
          <w:bCs w:val="0"/>
          <w:sz w:val="24"/>
          <w:lang w:val="en-US" w:eastAsia="zh-CN"/>
        </w:rPr>
        <w:t>四、技术和服务</w:t>
      </w:r>
    </w:p>
    <w:p w14:paraId="2F2D6D12">
      <w:pPr>
        <w:spacing w:line="360" w:lineRule="auto"/>
        <w:jc w:val="left"/>
        <w:rPr>
          <w:rFonts w:hint="default" w:ascii="仿宋_GB2312" w:hAnsi="宋体" w:eastAsia="仿宋_GB2312"/>
          <w:bCs/>
          <w:color w:val="FF0000"/>
          <w:sz w:val="24"/>
          <w:lang w:val="en-US" w:eastAsia="zh-CN"/>
        </w:rPr>
      </w:pPr>
      <w:r>
        <w:rPr>
          <w:rFonts w:hint="eastAsia" w:ascii="仿宋_GB2312" w:hAnsi="宋体" w:eastAsia="仿宋_GB2312"/>
          <w:bCs/>
          <w:color w:val="FF0000"/>
          <w:sz w:val="24"/>
          <w:lang w:val="en-US" w:eastAsia="zh-CN"/>
        </w:rPr>
        <w:t>1.产品技术规格及要求</w:t>
      </w:r>
    </w:p>
    <w:p w14:paraId="1319B128">
      <w:pPr>
        <w:spacing w:line="360" w:lineRule="auto"/>
        <w:jc w:val="left"/>
        <w:rPr>
          <w:rFonts w:ascii="仿宋_GB2312" w:eastAsia="仿宋_GB2312"/>
          <w:bCs/>
          <w:sz w:val="24"/>
        </w:rPr>
      </w:pPr>
      <w:r>
        <w:rPr>
          <w:rFonts w:hint="eastAsia" w:ascii="仿宋_GB2312" w:hAnsi="宋体" w:eastAsia="仿宋_GB2312"/>
          <w:bCs/>
          <w:color w:val="FF0000"/>
          <w:sz w:val="24"/>
        </w:rPr>
        <w:t>（注：</w:t>
      </w:r>
      <w:r>
        <w:rPr>
          <w:rFonts w:hint="eastAsia" w:ascii="仿宋" w:hAnsi="仿宋" w:eastAsia="仿宋"/>
          <w:bCs/>
          <w:color w:val="FF0000"/>
          <w:sz w:val="24"/>
        </w:rPr>
        <w:t>①</w:t>
      </w:r>
      <w:r>
        <w:rPr>
          <w:rFonts w:hint="eastAsia" w:ascii="仿宋_GB2312" w:hAnsi="宋体" w:eastAsia="仿宋_GB2312"/>
          <w:bCs/>
          <w:color w:val="FF0000"/>
          <w:sz w:val="24"/>
        </w:rPr>
        <w:t>若有涉及证书、检测报告、截图等其他证明材料的请加粗或下划线</w:t>
      </w:r>
      <w:r>
        <w:rPr>
          <w:rFonts w:hint="eastAsia" w:ascii="仿宋_GB2312" w:hAnsi="宋体" w:eastAsia="仿宋_GB2312"/>
          <w:bCs/>
          <w:color w:val="FF0000"/>
          <w:sz w:val="24"/>
          <w:lang w:val="en-US" w:eastAsia="zh-CN"/>
        </w:rPr>
        <w:t>显著</w:t>
      </w:r>
      <w:r>
        <w:rPr>
          <w:rFonts w:hint="eastAsia" w:ascii="仿宋_GB2312" w:hAnsi="宋体" w:eastAsia="仿宋_GB2312"/>
          <w:bCs/>
          <w:color w:val="FF0000"/>
          <w:sz w:val="24"/>
        </w:rPr>
        <w:t>标记，不建议要求过多客观性证明材料存在排他性，建议不超过3个。其中检测报告应先列明采购人的需求和参数，针对某一项参数要求提供检测报告证明此项参数的，检测报告评审要点在于检测标准、检测对象和检测结论，请慎重编制此项要求</w:t>
      </w:r>
      <w:r>
        <w:rPr>
          <w:rFonts w:hint="eastAsia" w:ascii="仿宋" w:hAnsi="仿宋" w:eastAsia="仿宋"/>
          <w:bCs/>
          <w:color w:val="FF0000"/>
          <w:sz w:val="24"/>
        </w:rPr>
        <w:t>②</w:t>
      </w:r>
      <w:r>
        <w:rPr>
          <w:rFonts w:hint="eastAsia" w:ascii="仿宋_GB2312" w:hAnsi="宋体" w:eastAsia="仿宋_GB2312"/>
          <w:bCs/>
          <w:color w:val="FF0000"/>
          <w:sz w:val="24"/>
        </w:rPr>
        <w:t>所有货物的技术规格及要求应在市场上至少有三个不同品牌的产品能满足。</w:t>
      </w:r>
      <w:r>
        <w:rPr>
          <w:rFonts w:hint="eastAsia" w:ascii="仿宋" w:hAnsi="仿宋" w:eastAsia="仿宋"/>
          <w:bCs/>
          <w:color w:val="FF0000"/>
          <w:sz w:val="24"/>
        </w:rPr>
        <w:t>③技术规格要求的描述上应</w:t>
      </w:r>
      <w:r>
        <w:rPr>
          <w:rFonts w:hint="eastAsia" w:ascii="仿宋_GB2312" w:hAnsi="宋体" w:eastAsia="仿宋_GB2312"/>
          <w:bCs/>
          <w:color w:val="FF0000"/>
          <w:sz w:val="24"/>
        </w:rPr>
        <w:t>避免广告性推销词汇或表述，避免照搬说明书或指导书条款，注重描述功能和必要的技术指标，不能出现品牌型号。</w:t>
      </w:r>
      <w:r>
        <w:rPr>
          <w:rFonts w:hint="eastAsia" w:ascii="仿宋" w:hAnsi="仿宋" w:eastAsia="仿宋"/>
          <w:bCs/>
          <w:color w:val="FF0000"/>
          <w:sz w:val="24"/>
        </w:rPr>
        <w:t>④所有固定值技术规格应增加偏差区间（如±5mm或±3%或≥5kg或≤5kg等），或者技术规格采用区间范围描述。⑤若有标注特殊符号的技术规格，涉及特殊符号的技术规格条目全文不超过10个。⑥设备类产品，若无需空间限制或非技术关键指标，请尽量不要描写设备的外观尺寸或外包装尺寸或设备总体重量等，易存在倾向性</w:t>
      </w:r>
      <w:r>
        <w:rPr>
          <w:rFonts w:hint="eastAsia" w:ascii="仿宋" w:hAnsi="仿宋" w:eastAsia="仿宋"/>
          <w:bCs/>
          <w:color w:val="FF0000"/>
          <w:sz w:val="24"/>
          <w:lang w:eastAsia="zh-CN"/>
        </w:rPr>
        <w:t>。</w:t>
      </w:r>
      <w:r>
        <w:rPr>
          <w:rFonts w:hint="eastAsia" w:ascii="宋体" w:hAnsi="宋体" w:eastAsia="宋体" w:cs="宋体"/>
          <w:bCs/>
          <w:color w:val="FF0000"/>
          <w:sz w:val="24"/>
          <w:lang w:eastAsia="zh-CN"/>
        </w:rPr>
        <w:t>⑦</w:t>
      </w:r>
      <w:r>
        <w:rPr>
          <w:rFonts w:hint="eastAsia" w:ascii="仿宋" w:hAnsi="仿宋" w:eastAsia="仿宋"/>
          <w:bCs/>
          <w:color w:val="FF0000"/>
          <w:sz w:val="24"/>
          <w:lang w:val="en-US" w:eastAsia="zh-CN"/>
        </w:rPr>
        <w:t>不能要求计算机软著权证书或者专利证书。</w:t>
      </w:r>
      <w:r>
        <w:rPr>
          <w:rFonts w:hint="eastAsia" w:ascii="仿宋" w:hAnsi="仿宋" w:eastAsia="仿宋" w:cs="仿宋"/>
          <w:bCs/>
          <w:color w:val="FF0000"/>
          <w:sz w:val="24"/>
          <w:lang w:val="en-US" w:eastAsia="zh-CN"/>
        </w:rPr>
        <w:t>⑧</w:t>
      </w:r>
      <w:r>
        <w:rPr>
          <w:rFonts w:hint="eastAsia" w:ascii="仿宋" w:hAnsi="仿宋" w:eastAsia="仿宋"/>
          <w:bCs/>
          <w:color w:val="FF0000"/>
          <w:sz w:val="24"/>
          <w:lang w:val="en-US" w:eastAsia="zh-CN"/>
        </w:rPr>
        <w:t>若有演示要求的技术参数条款请在对应的技术参数条款后显著标记“此项提供现场演示”</w:t>
      </w:r>
      <w:r>
        <w:rPr>
          <w:rFonts w:hint="eastAsia" w:ascii="仿宋_GB2312" w:hAnsi="宋体" w:eastAsia="仿宋_GB2312"/>
          <w:bCs/>
          <w:color w:val="FF0000"/>
          <w:sz w:val="24"/>
        </w:rPr>
        <w:t>）</w:t>
      </w:r>
    </w:p>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9"/>
        <w:gridCol w:w="1302"/>
        <w:gridCol w:w="1444"/>
        <w:gridCol w:w="5836"/>
      </w:tblGrid>
      <w:tr w14:paraId="4AA9C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4" w:hRule="atLeast"/>
        </w:trPr>
        <w:tc>
          <w:tcPr>
            <w:tcW w:w="595" w:type="pct"/>
            <w:vAlign w:val="center"/>
          </w:tcPr>
          <w:p w14:paraId="22138801">
            <w:pPr>
              <w:spacing w:line="400" w:lineRule="exact"/>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lang w:val="en-US" w:eastAsia="zh-CN"/>
              </w:rPr>
              <w:t>采购</w:t>
            </w:r>
            <w:r>
              <w:rPr>
                <w:rFonts w:hint="eastAsia" w:ascii="仿宋_GB2312" w:hAnsi="宋体" w:eastAsia="仿宋_GB2312" w:cs="宋体"/>
                <w:bCs/>
                <w:color w:val="000000"/>
                <w:kern w:val="0"/>
                <w:sz w:val="24"/>
              </w:rPr>
              <w:t>包</w:t>
            </w:r>
          </w:p>
        </w:tc>
        <w:tc>
          <w:tcPr>
            <w:tcW w:w="668" w:type="pct"/>
            <w:vAlign w:val="center"/>
          </w:tcPr>
          <w:p w14:paraId="26A367AD">
            <w:pPr>
              <w:spacing w:line="400" w:lineRule="exact"/>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lang w:val="en-US" w:eastAsia="zh-CN"/>
              </w:rPr>
              <w:t>序</w:t>
            </w:r>
            <w:r>
              <w:rPr>
                <w:rFonts w:hint="eastAsia" w:ascii="仿宋_GB2312" w:hAnsi="宋体" w:eastAsia="仿宋_GB2312" w:cs="宋体"/>
                <w:bCs/>
                <w:color w:val="000000"/>
                <w:kern w:val="0"/>
                <w:sz w:val="24"/>
              </w:rPr>
              <w:t>号</w:t>
            </w:r>
          </w:p>
        </w:tc>
        <w:tc>
          <w:tcPr>
            <w:tcW w:w="741" w:type="pct"/>
            <w:vAlign w:val="center"/>
          </w:tcPr>
          <w:p w14:paraId="5F43A95A">
            <w:pPr>
              <w:spacing w:line="400" w:lineRule="exact"/>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货物</w:t>
            </w:r>
          </w:p>
          <w:p w14:paraId="5E8976A0">
            <w:pPr>
              <w:spacing w:line="400" w:lineRule="exact"/>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名称</w:t>
            </w:r>
          </w:p>
        </w:tc>
        <w:tc>
          <w:tcPr>
            <w:tcW w:w="2995" w:type="pct"/>
            <w:vAlign w:val="center"/>
          </w:tcPr>
          <w:p w14:paraId="0502A1F0">
            <w:pPr>
              <w:spacing w:line="400" w:lineRule="exact"/>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技术规格及要求</w:t>
            </w:r>
          </w:p>
        </w:tc>
      </w:tr>
      <w:tr w14:paraId="3047C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5" w:type="pct"/>
            <w:vAlign w:val="center"/>
          </w:tcPr>
          <w:p w14:paraId="3C75DB8B">
            <w:pPr>
              <w:spacing w:line="400" w:lineRule="exact"/>
              <w:jc w:val="center"/>
              <w:rPr>
                <w:rFonts w:ascii="仿宋_GB2312" w:eastAsia="仿宋_GB2312" w:cs="宋体"/>
                <w:color w:val="000000"/>
                <w:sz w:val="24"/>
              </w:rPr>
            </w:pPr>
          </w:p>
        </w:tc>
        <w:tc>
          <w:tcPr>
            <w:tcW w:w="668" w:type="pct"/>
            <w:vAlign w:val="center"/>
          </w:tcPr>
          <w:p w14:paraId="3BC9BCF5">
            <w:pPr>
              <w:spacing w:line="400" w:lineRule="exact"/>
              <w:jc w:val="center"/>
              <w:rPr>
                <w:rFonts w:ascii="仿宋_GB2312" w:eastAsia="仿宋_GB2312" w:cs="宋体"/>
                <w:color w:val="000000"/>
                <w:sz w:val="24"/>
              </w:rPr>
            </w:pPr>
            <w:bookmarkStart w:id="0" w:name="_Toc22389"/>
            <w:bookmarkStart w:id="1" w:name="_Toc10192"/>
          </w:p>
          <w:bookmarkEnd w:id="0"/>
          <w:bookmarkEnd w:id="1"/>
        </w:tc>
        <w:tc>
          <w:tcPr>
            <w:tcW w:w="741" w:type="pct"/>
            <w:vAlign w:val="center"/>
          </w:tcPr>
          <w:p w14:paraId="6F53E20B">
            <w:pPr>
              <w:spacing w:line="400" w:lineRule="exact"/>
              <w:jc w:val="center"/>
              <w:rPr>
                <w:rFonts w:ascii="仿宋_GB2312" w:eastAsia="仿宋_GB2312" w:cs="宋体"/>
                <w:color w:val="000000"/>
                <w:sz w:val="24"/>
              </w:rPr>
            </w:pPr>
          </w:p>
        </w:tc>
        <w:tc>
          <w:tcPr>
            <w:tcW w:w="2995" w:type="pct"/>
            <w:vAlign w:val="center"/>
          </w:tcPr>
          <w:p w14:paraId="45ED314E">
            <w:pPr>
              <w:pStyle w:val="9"/>
              <w:spacing w:line="400" w:lineRule="exact"/>
              <w:ind w:firstLine="0" w:firstLineChars="0"/>
              <w:jc w:val="left"/>
              <w:rPr>
                <w:rFonts w:ascii="仿宋_GB2312" w:eastAsia="仿宋_GB2312" w:cs="宋体"/>
                <w:color w:val="000000"/>
                <w:sz w:val="24"/>
                <w:szCs w:val="24"/>
              </w:rPr>
            </w:pPr>
          </w:p>
        </w:tc>
      </w:tr>
      <w:tr w14:paraId="67E77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5" w:type="pct"/>
            <w:vAlign w:val="center"/>
          </w:tcPr>
          <w:p w14:paraId="39B36D14">
            <w:pPr>
              <w:spacing w:line="400" w:lineRule="exact"/>
              <w:jc w:val="center"/>
              <w:rPr>
                <w:rFonts w:ascii="仿宋_GB2312" w:eastAsia="仿宋_GB2312" w:cs="宋体"/>
                <w:color w:val="000000"/>
                <w:sz w:val="24"/>
              </w:rPr>
            </w:pPr>
          </w:p>
        </w:tc>
        <w:tc>
          <w:tcPr>
            <w:tcW w:w="668" w:type="pct"/>
            <w:vAlign w:val="center"/>
          </w:tcPr>
          <w:p w14:paraId="0A5325DF">
            <w:pPr>
              <w:spacing w:line="400" w:lineRule="exact"/>
              <w:jc w:val="center"/>
              <w:rPr>
                <w:rFonts w:ascii="仿宋_GB2312" w:eastAsia="仿宋_GB2312" w:cs="宋体"/>
                <w:color w:val="000000"/>
                <w:sz w:val="24"/>
              </w:rPr>
            </w:pPr>
          </w:p>
        </w:tc>
        <w:tc>
          <w:tcPr>
            <w:tcW w:w="741" w:type="pct"/>
            <w:vAlign w:val="center"/>
          </w:tcPr>
          <w:p w14:paraId="72105643">
            <w:pPr>
              <w:spacing w:line="400" w:lineRule="exact"/>
              <w:jc w:val="center"/>
              <w:rPr>
                <w:rFonts w:ascii="仿宋_GB2312" w:eastAsia="仿宋_GB2312" w:cs="宋体"/>
                <w:color w:val="000000"/>
                <w:sz w:val="24"/>
              </w:rPr>
            </w:pPr>
          </w:p>
        </w:tc>
        <w:tc>
          <w:tcPr>
            <w:tcW w:w="2995" w:type="pct"/>
            <w:vAlign w:val="center"/>
          </w:tcPr>
          <w:p w14:paraId="3AAAA0D9">
            <w:pPr>
              <w:pStyle w:val="9"/>
              <w:spacing w:line="400" w:lineRule="exact"/>
              <w:ind w:firstLine="0" w:firstLineChars="0"/>
              <w:jc w:val="left"/>
              <w:rPr>
                <w:rFonts w:ascii="仿宋_GB2312" w:eastAsia="仿宋_GB2312" w:cs="宋体"/>
                <w:color w:val="000000"/>
                <w:sz w:val="24"/>
                <w:szCs w:val="24"/>
              </w:rPr>
            </w:pPr>
          </w:p>
        </w:tc>
      </w:tr>
      <w:tr w14:paraId="2926D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5" w:type="pct"/>
            <w:vAlign w:val="center"/>
          </w:tcPr>
          <w:p w14:paraId="41F6AEEB">
            <w:pPr>
              <w:spacing w:line="400" w:lineRule="exact"/>
              <w:jc w:val="center"/>
              <w:rPr>
                <w:rFonts w:ascii="仿宋_GB2312" w:eastAsia="仿宋_GB2312" w:cs="宋体"/>
                <w:color w:val="000000"/>
                <w:sz w:val="24"/>
              </w:rPr>
            </w:pPr>
          </w:p>
        </w:tc>
        <w:tc>
          <w:tcPr>
            <w:tcW w:w="668" w:type="pct"/>
            <w:vAlign w:val="center"/>
          </w:tcPr>
          <w:p w14:paraId="04C2322D">
            <w:pPr>
              <w:spacing w:line="400" w:lineRule="exact"/>
              <w:jc w:val="center"/>
              <w:rPr>
                <w:rFonts w:ascii="仿宋_GB2312" w:eastAsia="仿宋_GB2312" w:cs="宋体"/>
                <w:color w:val="000000"/>
                <w:sz w:val="24"/>
              </w:rPr>
            </w:pPr>
          </w:p>
        </w:tc>
        <w:tc>
          <w:tcPr>
            <w:tcW w:w="741" w:type="pct"/>
            <w:vAlign w:val="center"/>
          </w:tcPr>
          <w:p w14:paraId="25630452">
            <w:pPr>
              <w:spacing w:line="400" w:lineRule="exact"/>
              <w:jc w:val="center"/>
              <w:rPr>
                <w:rFonts w:ascii="仿宋_GB2312" w:eastAsia="仿宋_GB2312" w:cs="宋体"/>
                <w:color w:val="000000"/>
                <w:sz w:val="24"/>
              </w:rPr>
            </w:pPr>
          </w:p>
        </w:tc>
        <w:tc>
          <w:tcPr>
            <w:tcW w:w="2995" w:type="pct"/>
            <w:vAlign w:val="center"/>
          </w:tcPr>
          <w:p w14:paraId="0A0ADA44">
            <w:pPr>
              <w:pStyle w:val="9"/>
              <w:spacing w:line="400" w:lineRule="exact"/>
              <w:ind w:firstLine="0" w:firstLineChars="0"/>
              <w:jc w:val="left"/>
              <w:rPr>
                <w:rFonts w:ascii="仿宋_GB2312" w:eastAsia="仿宋_GB2312" w:cs="宋体"/>
                <w:color w:val="000000"/>
                <w:sz w:val="24"/>
                <w:szCs w:val="24"/>
              </w:rPr>
            </w:pPr>
          </w:p>
        </w:tc>
      </w:tr>
    </w:tbl>
    <w:p w14:paraId="136E7C65">
      <w:pPr>
        <w:spacing w:line="360" w:lineRule="auto"/>
        <w:jc w:val="left"/>
        <w:rPr>
          <w:rFonts w:hint="default" w:ascii="仿宋_GB2312" w:hAnsi="宋体" w:eastAsia="仿宋_GB2312"/>
          <w:bCs/>
          <w:color w:val="FF0000"/>
          <w:sz w:val="24"/>
          <w:lang w:val="en-US" w:eastAsia="zh-CN"/>
        </w:rPr>
      </w:pPr>
      <w:bookmarkStart w:id="2" w:name="_Toc18276"/>
      <w:bookmarkStart w:id="3" w:name="_Toc28949"/>
      <w:r>
        <w:rPr>
          <w:rFonts w:hint="eastAsia" w:ascii="仿宋_GB2312" w:hAnsi="宋体" w:eastAsia="仿宋_GB2312"/>
          <w:bCs/>
          <w:sz w:val="24"/>
          <w:lang w:val="en-US" w:eastAsia="zh-CN"/>
        </w:rPr>
        <w:t>2.样品内容及样品提交要求</w:t>
      </w:r>
      <w:r>
        <w:rPr>
          <w:rFonts w:hint="eastAsia" w:ascii="仿宋_GB2312" w:hAnsi="宋体" w:eastAsia="仿宋_GB2312"/>
          <w:bCs/>
          <w:color w:val="FF0000"/>
          <w:sz w:val="24"/>
          <w:lang w:val="en-US" w:eastAsia="zh-CN"/>
        </w:rPr>
        <w:t>（若有</w:t>
      </w:r>
      <w:r>
        <w:rPr>
          <w:rFonts w:hint="eastAsia" w:ascii="仿宋" w:hAnsi="仿宋" w:eastAsia="仿宋"/>
          <w:bCs/>
          <w:color w:val="FF0000"/>
          <w:sz w:val="24"/>
          <w:lang w:val="en-US" w:eastAsia="zh-CN"/>
        </w:rPr>
        <w:t>，非必须要求</w:t>
      </w:r>
      <w:r>
        <w:rPr>
          <w:rFonts w:hint="eastAsia" w:ascii="仿宋_GB2312" w:hAnsi="宋体" w:eastAsia="仿宋_GB2312"/>
          <w:bCs/>
          <w:color w:val="FF0000"/>
          <w:sz w:val="24"/>
          <w:lang w:val="en-US" w:eastAsia="zh-CN"/>
        </w:rPr>
        <w:t>）</w:t>
      </w:r>
    </w:p>
    <w:p w14:paraId="32D8D238">
      <w:pPr>
        <w:spacing w:line="360" w:lineRule="auto"/>
        <w:jc w:val="left"/>
        <w:rPr>
          <w:rFonts w:hint="eastAsia" w:ascii="仿宋_GB2312" w:hAnsi="宋体" w:eastAsia="仿宋_GB2312"/>
          <w:b/>
          <w:bCs w:val="0"/>
          <w:sz w:val="24"/>
          <w:lang w:val="en-US" w:eastAsia="zh-CN"/>
        </w:rPr>
      </w:pPr>
    </w:p>
    <w:p w14:paraId="6A7872F3">
      <w:pPr>
        <w:spacing w:line="360" w:lineRule="auto"/>
        <w:jc w:val="left"/>
        <w:rPr>
          <w:rFonts w:hint="default" w:ascii="仿宋_GB2312" w:hAnsi="宋体" w:eastAsia="仿宋_GB2312"/>
          <w:b/>
          <w:bCs w:val="0"/>
          <w:sz w:val="24"/>
          <w:lang w:val="en-US" w:eastAsia="zh-CN"/>
        </w:rPr>
      </w:pPr>
      <w:r>
        <w:rPr>
          <w:rFonts w:hint="eastAsia" w:ascii="仿宋_GB2312" w:hAnsi="宋体" w:eastAsia="仿宋_GB2312"/>
          <w:b/>
          <w:bCs w:val="0"/>
          <w:sz w:val="24"/>
          <w:lang w:val="en-US" w:eastAsia="zh-CN"/>
        </w:rPr>
        <w:t>五、商务要求</w:t>
      </w:r>
    </w:p>
    <w:p w14:paraId="4CB33EF6">
      <w:pPr>
        <w:spacing w:line="360" w:lineRule="auto"/>
        <w:jc w:val="left"/>
        <w:rPr>
          <w:rFonts w:ascii="仿宋_GB2312" w:eastAsia="仿宋_GB2312"/>
          <w:bCs/>
          <w:sz w:val="24"/>
        </w:rPr>
      </w:pPr>
      <w:r>
        <w:rPr>
          <w:rFonts w:hint="eastAsia" w:ascii="仿宋_GB2312" w:hAnsi="宋体" w:eastAsia="仿宋_GB2312"/>
          <w:bCs/>
          <w:sz w:val="24"/>
          <w:lang w:val="en-US" w:eastAsia="zh-CN"/>
        </w:rPr>
        <w:t>1</w:t>
      </w:r>
      <w:r>
        <w:rPr>
          <w:rFonts w:hint="eastAsia" w:ascii="仿宋_GB2312" w:hAnsi="宋体" w:eastAsia="仿宋_GB2312"/>
          <w:bCs/>
          <w:sz w:val="24"/>
        </w:rPr>
        <w:t>.交货期、地点</w:t>
      </w:r>
    </w:p>
    <w:p w14:paraId="47F13DA9">
      <w:pPr>
        <w:spacing w:line="360" w:lineRule="auto"/>
        <w:jc w:val="left"/>
        <w:rPr>
          <w:rFonts w:ascii="仿宋_GB2312" w:eastAsia="仿宋_GB2312" w:cs="宋体"/>
          <w:bCs/>
          <w:color w:val="000000"/>
          <w:kern w:val="0"/>
          <w:sz w:val="24"/>
        </w:rPr>
      </w:pPr>
      <w:r>
        <w:rPr>
          <w:rFonts w:hint="eastAsia" w:ascii="仿宋_GB2312" w:hAnsi="宋体" w:eastAsia="仿宋_GB2312" w:cs="宋体"/>
          <w:bCs/>
          <w:color w:val="000000"/>
          <w:kern w:val="0"/>
          <w:sz w:val="24"/>
          <w:lang w:val="en-US" w:eastAsia="zh-CN"/>
        </w:rPr>
        <w:t>1</w:t>
      </w:r>
      <w:r>
        <w:rPr>
          <w:rFonts w:hint="eastAsia" w:ascii="仿宋_GB2312" w:hAnsi="宋体" w:eastAsia="仿宋_GB2312" w:cs="宋体"/>
          <w:bCs/>
          <w:color w:val="000000"/>
          <w:kern w:val="0"/>
          <w:sz w:val="24"/>
        </w:rPr>
        <w:t>.1交货期：合同签订之日起</w:t>
      </w:r>
      <w:r>
        <w:rPr>
          <w:rFonts w:hint="eastAsia" w:ascii="仿宋_GB2312" w:hAnsi="宋体" w:eastAsia="仿宋_GB2312" w:cs="宋体"/>
          <w:bCs/>
          <w:color w:val="000000"/>
          <w:kern w:val="0"/>
          <w:sz w:val="24"/>
          <w:u w:val="single"/>
        </w:rPr>
        <w:t xml:space="preserve">   </w:t>
      </w:r>
      <w:r>
        <w:rPr>
          <w:rFonts w:hint="eastAsia" w:ascii="仿宋_GB2312" w:hAnsi="宋体" w:eastAsia="仿宋_GB2312" w:cs="宋体"/>
          <w:bCs/>
          <w:color w:val="000000"/>
          <w:kern w:val="0"/>
          <w:sz w:val="24"/>
        </w:rPr>
        <w:t>个日历天内安装调试完毕。</w:t>
      </w:r>
    </w:p>
    <w:p w14:paraId="338270CD">
      <w:pPr>
        <w:spacing w:line="360" w:lineRule="auto"/>
        <w:jc w:val="left"/>
        <w:rPr>
          <w:rFonts w:ascii="仿宋_GB2312" w:eastAsia="仿宋_GB2312" w:cs="宋体"/>
          <w:bCs/>
          <w:color w:val="000000"/>
          <w:kern w:val="0"/>
          <w:sz w:val="24"/>
        </w:rPr>
      </w:pPr>
      <w:r>
        <w:rPr>
          <w:rFonts w:hint="eastAsia" w:ascii="仿宋_GB2312" w:hAnsi="宋体" w:eastAsia="仿宋_GB2312" w:cs="宋体"/>
          <w:bCs/>
          <w:color w:val="000000"/>
          <w:kern w:val="0"/>
          <w:sz w:val="24"/>
          <w:lang w:val="en-US" w:eastAsia="zh-CN"/>
        </w:rPr>
        <w:t>1</w:t>
      </w:r>
      <w:r>
        <w:rPr>
          <w:rFonts w:hint="eastAsia" w:ascii="仿宋_GB2312" w:hAnsi="宋体" w:eastAsia="仿宋_GB2312" w:cs="宋体"/>
          <w:bCs/>
          <w:color w:val="000000"/>
          <w:kern w:val="0"/>
          <w:sz w:val="24"/>
        </w:rPr>
        <w:t>.2交货地点：</w:t>
      </w:r>
      <w:r>
        <w:rPr>
          <w:rFonts w:hint="eastAsia" w:ascii="仿宋_GB2312" w:hAnsi="宋体" w:eastAsia="仿宋_GB2312" w:cs="宋体"/>
          <w:bCs/>
          <w:color w:val="000000"/>
          <w:kern w:val="0"/>
          <w:sz w:val="24"/>
          <w:u w:val="single"/>
        </w:rPr>
        <w:t xml:space="preserve">                 </w:t>
      </w:r>
    </w:p>
    <w:p w14:paraId="520E8011">
      <w:pPr>
        <w:spacing w:line="360" w:lineRule="auto"/>
        <w:jc w:val="left"/>
        <w:rPr>
          <w:rFonts w:ascii="仿宋_GB2312" w:hAnsi="宋体" w:eastAsia="仿宋_GB2312" w:cs="宋体"/>
          <w:bCs/>
          <w:color w:val="FF0000"/>
          <w:kern w:val="0"/>
          <w:sz w:val="24"/>
        </w:rPr>
      </w:pPr>
      <w:r>
        <w:rPr>
          <w:rFonts w:hint="eastAsia" w:ascii="仿宋_GB2312" w:hAnsi="宋体" w:eastAsia="仿宋_GB2312" w:cs="宋体"/>
          <w:bCs/>
          <w:color w:val="000000"/>
          <w:kern w:val="0"/>
          <w:sz w:val="24"/>
          <w:lang w:val="en-US" w:eastAsia="zh-CN"/>
        </w:rPr>
        <w:t>2</w:t>
      </w:r>
      <w:r>
        <w:rPr>
          <w:rFonts w:ascii="仿宋_GB2312" w:hAnsi="宋体" w:eastAsia="仿宋_GB2312" w:cs="宋体"/>
          <w:bCs/>
          <w:color w:val="000000"/>
          <w:kern w:val="0"/>
          <w:sz w:val="24"/>
        </w:rPr>
        <w:t>.</w:t>
      </w:r>
      <w:r>
        <w:rPr>
          <w:rFonts w:hint="eastAsia" w:ascii="仿宋_GB2312" w:hAnsi="宋体" w:eastAsia="仿宋_GB2312" w:cs="宋体"/>
          <w:bCs/>
          <w:color w:val="000000"/>
          <w:kern w:val="0"/>
          <w:sz w:val="24"/>
        </w:rPr>
        <w:t>结算方式及要求</w:t>
      </w:r>
      <w:r>
        <w:rPr>
          <w:rFonts w:hint="eastAsia" w:ascii="仿宋_GB2312" w:hAnsi="宋体" w:eastAsia="仿宋_GB2312" w:cs="宋体"/>
          <w:bCs/>
          <w:color w:val="FF0000"/>
          <w:kern w:val="0"/>
          <w:sz w:val="24"/>
        </w:rPr>
        <w:t>（若有</w:t>
      </w:r>
      <w:r>
        <w:rPr>
          <w:rFonts w:hint="eastAsia" w:ascii="仿宋_GB2312" w:hAnsi="宋体" w:eastAsia="仿宋_GB2312" w:cs="宋体"/>
          <w:bCs/>
          <w:color w:val="FF0000"/>
          <w:kern w:val="0"/>
          <w:sz w:val="24"/>
          <w:lang w:eastAsia="zh-CN"/>
        </w:rPr>
        <w:t>，</w:t>
      </w:r>
      <w:r>
        <w:rPr>
          <w:rFonts w:hint="eastAsia" w:ascii="仿宋_GB2312" w:hAnsi="宋体" w:eastAsia="仿宋_GB2312" w:cs="宋体"/>
          <w:bCs/>
          <w:color w:val="FF0000"/>
          <w:kern w:val="0"/>
          <w:sz w:val="24"/>
          <w:lang w:val="en-US" w:eastAsia="zh-CN"/>
        </w:rPr>
        <w:t>根据项目实际情况填写</w:t>
      </w:r>
      <w:r>
        <w:rPr>
          <w:rFonts w:hint="eastAsia" w:ascii="仿宋_GB2312" w:hAnsi="宋体" w:eastAsia="仿宋_GB2312" w:cs="宋体"/>
          <w:bCs/>
          <w:color w:val="FF0000"/>
          <w:kern w:val="0"/>
          <w:sz w:val="24"/>
        </w:rPr>
        <w:t>）</w:t>
      </w:r>
    </w:p>
    <w:p w14:paraId="06AC2AA1">
      <w:pPr>
        <w:spacing w:line="360" w:lineRule="auto"/>
        <w:jc w:val="left"/>
        <w:rPr>
          <w:rFonts w:ascii="仿宋_GB2312" w:hAnsi="宋体" w:eastAsia="仿宋_GB2312" w:cs="宋体"/>
          <w:bCs/>
          <w:color w:val="FF0000"/>
          <w:kern w:val="0"/>
          <w:sz w:val="24"/>
        </w:rPr>
      </w:pPr>
      <w:r>
        <w:rPr>
          <w:rFonts w:hint="eastAsia" w:ascii="仿宋_GB2312" w:hAnsi="宋体" w:eastAsia="仿宋_GB2312" w:cs="宋体"/>
          <w:bCs/>
          <w:color w:val="FF0000"/>
          <w:kern w:val="0"/>
          <w:sz w:val="24"/>
        </w:rPr>
        <w:t>例1：按实结算，分批分次/每月/每季度/（或者自定义结算时间跨度）结算</w:t>
      </w:r>
    </w:p>
    <w:p w14:paraId="49507970">
      <w:pPr>
        <w:spacing w:line="360" w:lineRule="auto"/>
        <w:jc w:val="left"/>
        <w:rPr>
          <w:rFonts w:ascii="仿宋_GB2312" w:hAnsi="宋体" w:eastAsia="仿宋_GB2312" w:cs="宋体"/>
          <w:bCs/>
          <w:color w:val="FF0000"/>
          <w:kern w:val="0"/>
          <w:sz w:val="24"/>
        </w:rPr>
      </w:pPr>
      <w:r>
        <w:rPr>
          <w:rFonts w:hint="eastAsia" w:ascii="仿宋_GB2312" w:hAnsi="宋体" w:eastAsia="仿宋_GB2312" w:cs="宋体"/>
          <w:bCs/>
          <w:color w:val="FF0000"/>
          <w:kern w:val="0"/>
          <w:sz w:val="24"/>
        </w:rPr>
        <w:t>每个产品结算价=最高单价限价*中标折扣*实际采购数量，结算总价为每个产品结算价的累加之和。</w:t>
      </w:r>
    </w:p>
    <w:p w14:paraId="491A98A3">
      <w:pPr>
        <w:spacing w:line="360" w:lineRule="auto"/>
        <w:jc w:val="left"/>
        <w:rPr>
          <w:rFonts w:ascii="仿宋_GB2312" w:hAnsi="宋体" w:eastAsia="仿宋_GB2312" w:cs="宋体"/>
          <w:bCs/>
          <w:color w:val="FF0000"/>
          <w:kern w:val="0"/>
          <w:sz w:val="24"/>
        </w:rPr>
      </w:pPr>
      <w:r>
        <w:rPr>
          <w:rFonts w:hint="eastAsia" w:ascii="仿宋_GB2312" w:hAnsi="宋体" w:eastAsia="仿宋_GB2312" w:cs="宋体"/>
          <w:bCs/>
          <w:color w:val="FF0000"/>
          <w:kern w:val="0"/>
          <w:sz w:val="24"/>
        </w:rPr>
        <w:t>若无特殊结算要求，则填写“无”。</w:t>
      </w:r>
    </w:p>
    <w:p w14:paraId="0EC616FA">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lang w:val="en-US" w:eastAsia="zh-CN"/>
        </w:rPr>
        <w:t>3</w:t>
      </w:r>
      <w:r>
        <w:rPr>
          <w:rFonts w:hint="eastAsia" w:ascii="仿宋_GB2312" w:hAnsi="宋体" w:eastAsia="仿宋_GB2312" w:cs="宋体"/>
          <w:bCs/>
          <w:color w:val="000000"/>
          <w:kern w:val="0"/>
          <w:sz w:val="24"/>
        </w:rPr>
        <w:t>.</w:t>
      </w:r>
      <w:r>
        <w:rPr>
          <w:rFonts w:hint="eastAsia" w:ascii="仿宋_GB2312" w:hAnsi="宋体" w:eastAsia="仿宋_GB2312"/>
          <w:bCs/>
          <w:sz w:val="24"/>
        </w:rPr>
        <w:t>付款方式</w:t>
      </w:r>
      <w:r>
        <w:rPr>
          <w:rFonts w:hint="eastAsia" w:ascii="仿宋_GB2312" w:hAnsi="宋体" w:eastAsia="仿宋_GB2312" w:cs="宋体"/>
          <w:bCs/>
          <w:color w:val="000000"/>
          <w:kern w:val="0"/>
          <w:sz w:val="24"/>
        </w:rPr>
        <w:t>及要求</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418"/>
        <w:gridCol w:w="7081"/>
      </w:tblGrid>
      <w:tr w14:paraId="32569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14:paraId="48ACB68F">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支付期次</w:t>
            </w:r>
          </w:p>
        </w:tc>
        <w:tc>
          <w:tcPr>
            <w:tcW w:w="1418" w:type="dxa"/>
          </w:tcPr>
          <w:p w14:paraId="7D446480">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支付比例</w:t>
            </w:r>
          </w:p>
        </w:tc>
        <w:tc>
          <w:tcPr>
            <w:tcW w:w="7081" w:type="dxa"/>
          </w:tcPr>
          <w:p w14:paraId="1FE17593">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支付要求</w:t>
            </w:r>
          </w:p>
        </w:tc>
      </w:tr>
      <w:tr w14:paraId="54048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14:paraId="1CA2EDB4">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1</w:t>
            </w:r>
            <w:r>
              <w:rPr>
                <w:rFonts w:hint="eastAsia" w:ascii="仿宋_GB2312" w:hAnsi="宋体" w:eastAsia="仿宋_GB2312" w:cs="宋体"/>
                <w:bCs/>
                <w:color w:val="FF0000"/>
                <w:kern w:val="0"/>
                <w:sz w:val="24"/>
                <w:lang w:eastAsia="zh-CN"/>
              </w:rPr>
              <w:t>（</w:t>
            </w:r>
            <w:r>
              <w:rPr>
                <w:rFonts w:hint="eastAsia" w:ascii="仿宋_GB2312" w:hAnsi="宋体" w:eastAsia="仿宋_GB2312" w:cs="宋体"/>
                <w:bCs/>
                <w:color w:val="FF0000"/>
                <w:kern w:val="0"/>
                <w:sz w:val="24"/>
              </w:rPr>
              <w:t>按次/月/季度/（或者自定义结算时间跨度）</w:t>
            </w:r>
          </w:p>
        </w:tc>
        <w:tc>
          <w:tcPr>
            <w:tcW w:w="1418" w:type="dxa"/>
          </w:tcPr>
          <w:p w14:paraId="779E83E2">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_</w:t>
            </w:r>
            <w:r>
              <w:rPr>
                <w:rFonts w:ascii="仿宋_GB2312" w:hAnsi="宋体" w:eastAsia="仿宋_GB2312" w:cs="宋体"/>
                <w:bCs/>
                <w:color w:val="000000"/>
                <w:kern w:val="0"/>
                <w:sz w:val="24"/>
              </w:rPr>
              <w:t>__%</w:t>
            </w:r>
          </w:p>
        </w:tc>
        <w:tc>
          <w:tcPr>
            <w:tcW w:w="7081" w:type="dxa"/>
          </w:tcPr>
          <w:p w14:paraId="49641A07">
            <w:pPr>
              <w:spacing w:line="360" w:lineRule="auto"/>
              <w:ind w:firstLine="480" w:firstLineChars="200"/>
              <w:jc w:val="left"/>
              <w:rPr>
                <w:rFonts w:ascii="仿宋_GB2312" w:eastAsia="仿宋_GB2312" w:cs="宋体"/>
                <w:bCs/>
                <w:color w:val="FF0000"/>
                <w:kern w:val="0"/>
                <w:sz w:val="24"/>
              </w:rPr>
            </w:pPr>
            <w:r>
              <w:rPr>
                <w:rFonts w:hint="eastAsia" w:ascii="仿宋_GB2312" w:hAnsi="宋体" w:eastAsia="仿宋_GB2312" w:cs="宋体"/>
                <w:bCs/>
                <w:color w:val="FF0000"/>
                <w:kern w:val="0"/>
                <w:sz w:val="24"/>
                <w:lang w:val="en-US" w:eastAsia="zh-CN"/>
              </w:rPr>
              <w:t>例如：</w:t>
            </w:r>
            <w:r>
              <w:rPr>
                <w:rFonts w:hint="eastAsia" w:ascii="仿宋_GB2312" w:hAnsi="宋体" w:eastAsia="仿宋_GB2312" w:cs="宋体"/>
                <w:bCs/>
                <w:color w:val="FF0000"/>
                <w:kern w:val="0"/>
                <w:sz w:val="24"/>
              </w:rPr>
              <w:t>所有货物运至采购人指定地点安装并调试完毕，经</w:t>
            </w:r>
            <w:r>
              <w:rPr>
                <w:rFonts w:hint="eastAsia" w:ascii="仿宋_GB2312" w:hAnsi="宋体" w:eastAsia="仿宋_GB2312" w:cs="宋体"/>
                <w:bCs/>
                <w:color w:val="FF0000"/>
                <w:kern w:val="0"/>
                <w:sz w:val="24"/>
                <w:lang w:val="en-US" w:eastAsia="zh-CN"/>
              </w:rPr>
              <w:t>采购人</w:t>
            </w:r>
            <w:r>
              <w:rPr>
                <w:rFonts w:hint="eastAsia" w:ascii="仿宋_GB2312" w:hAnsi="宋体" w:eastAsia="仿宋_GB2312" w:cs="宋体"/>
                <w:bCs/>
                <w:color w:val="FF0000"/>
                <w:kern w:val="0"/>
                <w:sz w:val="24"/>
              </w:rPr>
              <w:t>验收合格后，（若项目中涉及装修、改造等工程施工内容增加此项要求：其中施工部分应结清施工及安装过程产生的水、电及垃圾清运等费用）</w:t>
            </w:r>
            <w:r>
              <w:rPr>
                <w:rFonts w:hint="eastAsia" w:ascii="仿宋_GB2312" w:hAnsi="宋体" w:eastAsia="仿宋_GB2312" w:cs="宋体"/>
                <w:bCs/>
                <w:color w:val="FF0000"/>
                <w:kern w:val="0"/>
                <w:sz w:val="24"/>
                <w:lang w:val="en-US" w:eastAsia="zh-CN"/>
              </w:rPr>
              <w:t>中标人</w:t>
            </w:r>
            <w:r>
              <w:rPr>
                <w:rFonts w:hint="eastAsia" w:ascii="仿宋_GB2312" w:hAnsi="宋体" w:eastAsia="仿宋_GB2312" w:cs="宋体"/>
                <w:bCs/>
                <w:color w:val="FF0000"/>
                <w:kern w:val="0"/>
                <w:sz w:val="24"/>
              </w:rPr>
              <w:t>提供增值税专用发票，采购人在收到发票之日起</w:t>
            </w:r>
            <w:r>
              <w:rPr>
                <w:rFonts w:hint="eastAsia" w:ascii="仿宋_GB2312" w:hAnsi="宋体" w:eastAsia="仿宋_GB2312" w:cs="宋体"/>
                <w:color w:val="FF0000"/>
                <w:kern w:val="0"/>
                <w:sz w:val="24"/>
                <w:u w:val="single"/>
                <w:lang w:val="en-US" w:eastAsia="zh-CN"/>
              </w:rPr>
              <w:t xml:space="preserve">  </w:t>
            </w:r>
            <w:r>
              <w:rPr>
                <w:rFonts w:hint="eastAsia" w:ascii="仿宋_GB2312" w:hAnsi="宋体" w:eastAsia="仿宋_GB2312" w:cs="宋体"/>
                <w:color w:val="FF0000"/>
                <w:kern w:val="0"/>
                <w:sz w:val="24"/>
                <w:lang w:val="en-US" w:eastAsia="zh-CN"/>
              </w:rPr>
              <w:t>日内</w:t>
            </w:r>
            <w:r>
              <w:rPr>
                <w:rFonts w:hint="eastAsia" w:ascii="仿宋_GB2312" w:hAnsi="宋体" w:eastAsia="仿宋_GB2312" w:cs="宋体"/>
                <w:bCs/>
                <w:color w:val="FF0000"/>
                <w:kern w:val="0"/>
                <w:sz w:val="24"/>
              </w:rPr>
              <w:t>支付。</w:t>
            </w:r>
          </w:p>
          <w:p w14:paraId="6207DE88">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
                <w:bCs/>
                <w:color w:val="FF0000"/>
                <w:kern w:val="0"/>
                <w:sz w:val="24"/>
                <w:highlight w:val="yellow"/>
                <w:lang w:val="en-US" w:eastAsia="zh-CN"/>
              </w:rPr>
              <w:t>注：采购人支付时间不可超过14日</w:t>
            </w:r>
          </w:p>
        </w:tc>
      </w:tr>
      <w:tr w14:paraId="1659E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14:paraId="73B98FDD">
            <w:pPr>
              <w:spacing w:line="360" w:lineRule="auto"/>
              <w:jc w:val="left"/>
              <w:rPr>
                <w:rFonts w:ascii="仿宋_GB2312" w:hAnsi="宋体" w:eastAsia="仿宋_GB2312" w:cs="宋体"/>
                <w:bCs/>
                <w:color w:val="FF0000"/>
                <w:kern w:val="0"/>
                <w:sz w:val="24"/>
              </w:rPr>
            </w:pPr>
            <w:r>
              <w:rPr>
                <w:rFonts w:hint="eastAsia" w:ascii="仿宋_GB2312" w:hAnsi="宋体" w:eastAsia="仿宋_GB2312" w:cs="宋体"/>
                <w:bCs/>
                <w:color w:val="FF0000"/>
                <w:kern w:val="0"/>
                <w:sz w:val="24"/>
              </w:rPr>
              <w:t>以此类推</w:t>
            </w:r>
          </w:p>
        </w:tc>
        <w:tc>
          <w:tcPr>
            <w:tcW w:w="1418" w:type="dxa"/>
          </w:tcPr>
          <w:p w14:paraId="5FEF122B">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w:t>
            </w:r>
          </w:p>
        </w:tc>
        <w:tc>
          <w:tcPr>
            <w:tcW w:w="7081" w:type="dxa"/>
          </w:tcPr>
          <w:p w14:paraId="22AD3A0C">
            <w:pPr>
              <w:spacing w:line="360" w:lineRule="auto"/>
              <w:ind w:firstLine="480" w:firstLineChars="200"/>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w:t>
            </w:r>
          </w:p>
        </w:tc>
      </w:tr>
    </w:tbl>
    <w:p w14:paraId="60C77B39">
      <w:pPr>
        <w:spacing w:line="360" w:lineRule="auto"/>
        <w:ind w:firstLine="480" w:firstLineChars="200"/>
        <w:jc w:val="left"/>
        <w:rPr>
          <w:rFonts w:ascii="仿宋_GB2312" w:hAnsi="宋体" w:eastAsia="仿宋_GB2312" w:cs="宋体"/>
          <w:bCs/>
          <w:color w:val="000000"/>
          <w:kern w:val="0"/>
          <w:sz w:val="24"/>
        </w:rPr>
      </w:pPr>
    </w:p>
    <w:p w14:paraId="38B615AF">
      <w:pPr>
        <w:numPr>
          <w:ilvl w:val="0"/>
          <w:numId w:val="0"/>
        </w:numPr>
        <w:spacing w:line="360" w:lineRule="auto"/>
        <w:jc w:val="left"/>
        <w:rPr>
          <w:rFonts w:hint="eastAsia" w:ascii="仿宋_GB2312" w:eastAsia="仿宋_GB2312"/>
          <w:sz w:val="24"/>
        </w:rPr>
      </w:pPr>
      <w:r>
        <w:rPr>
          <w:rFonts w:hint="eastAsia" w:ascii="仿宋_GB2312" w:eastAsia="仿宋_GB2312"/>
          <w:sz w:val="24"/>
          <w:lang w:val="en-US" w:eastAsia="zh-CN"/>
        </w:rPr>
        <w:t>4.</w:t>
      </w:r>
      <w:r>
        <w:rPr>
          <w:rFonts w:hint="eastAsia" w:ascii="仿宋_GB2312" w:eastAsia="仿宋_GB2312"/>
          <w:sz w:val="24"/>
        </w:rPr>
        <w:t>履约保证金:</w:t>
      </w:r>
    </w:p>
    <w:p w14:paraId="3ECDCECA">
      <w:pPr>
        <w:numPr>
          <w:ilvl w:val="0"/>
          <w:numId w:val="0"/>
        </w:numPr>
        <w:spacing w:line="360" w:lineRule="auto"/>
        <w:ind w:firstLine="480" w:firstLineChars="200"/>
        <w:jc w:val="left"/>
        <w:rPr>
          <w:rFonts w:ascii="仿宋_GB2312" w:eastAsia="仿宋_GB2312"/>
          <w:color w:val="FF0000"/>
          <w:sz w:val="24"/>
        </w:rPr>
      </w:pPr>
      <w:r>
        <w:rPr>
          <w:rFonts w:hint="eastAsia" w:ascii="仿宋_GB2312" w:eastAsia="仿宋_GB2312"/>
          <w:sz w:val="24"/>
        </w:rPr>
        <w:t>中标人在合同签订时，向采购人缴纳合同总金额的</w:t>
      </w:r>
      <w:r>
        <w:rPr>
          <w:rFonts w:hint="eastAsia" w:ascii="仿宋_GB2312" w:eastAsia="仿宋_GB2312"/>
          <w:sz w:val="24"/>
          <w:u w:val="single"/>
          <w:lang w:val="en-US" w:eastAsia="zh-CN"/>
        </w:rPr>
        <w:t xml:space="preserve">  </w:t>
      </w:r>
      <w:r>
        <w:rPr>
          <w:rFonts w:hint="eastAsia" w:ascii="仿宋_GB2312" w:eastAsia="仿宋_GB2312"/>
          <w:sz w:val="24"/>
        </w:rPr>
        <w:t>%作为履约保证金</w:t>
      </w:r>
      <w:r>
        <w:rPr>
          <w:rFonts w:hint="eastAsia" w:ascii="仿宋_GB2312" w:eastAsia="仿宋_GB2312"/>
          <w:color w:val="FF0000"/>
          <w:sz w:val="24"/>
        </w:rPr>
        <w:t>（不得超过中标金额的10%）</w:t>
      </w:r>
      <w:r>
        <w:rPr>
          <w:rFonts w:hint="eastAsia" w:ascii="仿宋_GB2312" w:eastAsia="仿宋_GB2312"/>
          <w:sz w:val="24"/>
        </w:rPr>
        <w:t>[本采购包为非专门面向中小企业的政府采购项目，若本项目中标人为中小微企业(须提供声明函)，缴纳履约保证金的金额为中标金额的</w:t>
      </w:r>
      <w:r>
        <w:rPr>
          <w:rFonts w:hint="eastAsia" w:ascii="仿宋_GB2312" w:eastAsia="仿宋_GB2312"/>
          <w:sz w:val="24"/>
          <w:u w:val="single"/>
          <w:lang w:val="en-US" w:eastAsia="zh-CN"/>
        </w:rPr>
        <w:t xml:space="preserve">  </w:t>
      </w:r>
      <w:r>
        <w:rPr>
          <w:rFonts w:hint="eastAsia" w:ascii="仿宋_GB2312" w:eastAsia="仿宋_GB2312"/>
          <w:sz w:val="24"/>
        </w:rPr>
        <w:t>%]</w:t>
      </w:r>
      <w:r>
        <w:rPr>
          <w:rFonts w:hint="eastAsia" w:ascii="仿宋_GB2312" w:eastAsia="仿宋_GB2312"/>
          <w:color w:val="FF0000"/>
          <w:sz w:val="24"/>
          <w:lang w:eastAsia="zh-CN"/>
        </w:rPr>
        <w:t>（</w:t>
      </w:r>
      <w:r>
        <w:rPr>
          <w:rFonts w:hint="eastAsia" w:ascii="仿宋_GB2312" w:eastAsia="仿宋_GB2312"/>
          <w:color w:val="FF0000"/>
          <w:sz w:val="24"/>
          <w:lang w:val="en-US" w:eastAsia="zh-CN"/>
        </w:rPr>
        <w:t>此括号内内容针对不专门面向中小企业的项目</w:t>
      </w:r>
      <w:r>
        <w:rPr>
          <w:rFonts w:hint="eastAsia" w:ascii="仿宋_GB2312" w:eastAsia="仿宋_GB2312"/>
          <w:color w:val="FF0000"/>
          <w:sz w:val="24"/>
          <w:lang w:eastAsia="zh-CN"/>
        </w:rPr>
        <w:t>）</w:t>
      </w:r>
      <w:r>
        <w:rPr>
          <w:rFonts w:hint="eastAsia" w:ascii="仿宋_GB2312" w:eastAsia="仿宋_GB2312"/>
          <w:sz w:val="24"/>
        </w:rPr>
        <w:t>。中标人若以电子保函形式提交履约保证金的，要求提供独立保函且保函期限覆盖本项目合同期限。 中标人若以其他方式提交履约保证金的，该履约保证金在项目最终验收合格之日起至合同期满后，待中标人完整履行合同，且无质量问题，采购人予以无息退还履约保证金。</w:t>
      </w:r>
    </w:p>
    <w:p w14:paraId="7450B258">
      <w:pPr>
        <w:spacing w:line="360" w:lineRule="auto"/>
        <w:jc w:val="left"/>
        <w:rPr>
          <w:rFonts w:ascii="仿宋_GB2312" w:eastAsia="仿宋_GB2312"/>
          <w:bCs/>
          <w:sz w:val="24"/>
        </w:rPr>
      </w:pPr>
      <w:r>
        <w:rPr>
          <w:rFonts w:hint="eastAsia" w:ascii="仿宋_GB2312" w:hAnsi="宋体" w:eastAsia="仿宋_GB2312"/>
          <w:bCs/>
          <w:sz w:val="24"/>
          <w:lang w:val="en-US" w:eastAsia="zh-CN"/>
        </w:rPr>
        <w:t>5</w:t>
      </w:r>
      <w:r>
        <w:rPr>
          <w:rFonts w:hint="eastAsia" w:ascii="仿宋_GB2312" w:hAnsi="宋体" w:eastAsia="仿宋_GB2312"/>
          <w:bCs/>
          <w:sz w:val="24"/>
        </w:rPr>
        <w:t>.安装、调试及培训要求</w:t>
      </w:r>
      <w:bookmarkEnd w:id="2"/>
      <w:bookmarkEnd w:id="3"/>
    </w:p>
    <w:p w14:paraId="4E7470F4">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w:t>
      </w:r>
    </w:p>
    <w:p w14:paraId="6577EE27">
      <w:pPr>
        <w:spacing w:line="360" w:lineRule="auto"/>
        <w:ind w:firstLine="360" w:firstLineChars="150"/>
        <w:jc w:val="left"/>
        <w:rPr>
          <w:rFonts w:ascii="仿宋_GB2312" w:hAnsi="宋体" w:eastAsia="仿宋_GB2312"/>
          <w:bCs/>
          <w:sz w:val="24"/>
        </w:rPr>
      </w:pPr>
      <w:r>
        <w:rPr>
          <w:rFonts w:hint="eastAsia" w:ascii="仿宋_GB2312" w:hAnsi="宋体" w:eastAsia="仿宋_GB2312"/>
          <w:bCs/>
          <w:color w:val="FF0000"/>
          <w:sz w:val="24"/>
        </w:rPr>
        <w:t>若有涉及装修改造部分，增加此项要求：</w:t>
      </w:r>
      <w:r>
        <w:rPr>
          <w:rFonts w:hint="eastAsia" w:ascii="仿宋_GB2312" w:hAnsi="宋体" w:eastAsia="仿宋_GB2312"/>
          <w:bCs/>
          <w:sz w:val="24"/>
        </w:rPr>
        <w:t>施工过程应遵守采购人的相关规定，施工前应先报采购单位的后勤管理部门备案，取得《福建船政交通职业学院校园施工许可证》方可施工。工程施工所需的所有设施、器械及施工期间的水、电费用等一切费用全部由中标方承担。其中施工用水、用电应独立安装水、电表，施工用水、用电费用按自来水公司、电业局的收费标准由中标方自行缴纳。因中标方不按标准缴纳该费用，所造成工地停水、停电影响施工的，其责任由中标方负责。若因施工对采购人原有设备、设施造成损坏，应负责修复如初或照价赔偿。</w:t>
      </w:r>
    </w:p>
    <w:p w14:paraId="4231E5FC">
      <w:pPr>
        <w:spacing w:line="360" w:lineRule="auto"/>
        <w:jc w:val="left"/>
        <w:rPr>
          <w:rFonts w:ascii="仿宋_GB2312" w:eastAsia="仿宋_GB2312"/>
          <w:bCs/>
          <w:sz w:val="24"/>
        </w:rPr>
      </w:pPr>
      <w:bookmarkStart w:id="4" w:name="_Toc9478"/>
      <w:bookmarkStart w:id="5" w:name="_Toc6868"/>
      <w:r>
        <w:rPr>
          <w:rFonts w:hint="eastAsia" w:ascii="仿宋_GB2312" w:hAnsi="宋体" w:eastAsia="仿宋_GB2312"/>
          <w:bCs/>
          <w:sz w:val="24"/>
          <w:lang w:val="en-US" w:eastAsia="zh-CN"/>
        </w:rPr>
        <w:t>6</w:t>
      </w:r>
      <w:r>
        <w:rPr>
          <w:rFonts w:hint="eastAsia" w:ascii="仿宋_GB2312" w:hAnsi="宋体" w:eastAsia="仿宋_GB2312"/>
          <w:bCs/>
          <w:sz w:val="24"/>
        </w:rPr>
        <w:t>.验收要求</w:t>
      </w:r>
      <w:bookmarkEnd w:id="4"/>
      <w:bookmarkEnd w:id="5"/>
    </w:p>
    <w:p w14:paraId="44A2E526">
      <w:pPr>
        <w:spacing w:line="360" w:lineRule="auto"/>
        <w:ind w:firstLine="600" w:firstLineChars="250"/>
        <w:jc w:val="left"/>
        <w:rPr>
          <w:rFonts w:hint="default" w:ascii="仿宋_GB2312" w:hAnsi="宋体" w:eastAsia="仿宋_GB2312"/>
          <w:bCs/>
          <w:sz w:val="24"/>
          <w:lang w:val="en-US" w:eastAsia="zh-CN"/>
        </w:rPr>
      </w:pPr>
      <w:r>
        <w:rPr>
          <w:rFonts w:hint="eastAsia" w:ascii="仿宋_GB2312" w:hAnsi="宋体" w:eastAsia="仿宋_GB2312"/>
          <w:bCs/>
          <w:color w:val="FF0000"/>
          <w:sz w:val="24"/>
          <w:lang w:val="en-US" w:eastAsia="zh-CN"/>
        </w:rPr>
        <w:t>要求此项内容应具有实际可操作性，不要写符合相关国家标准、行业标准等虚话，应根据项目将来如何组织验收的实际情况展开描述。</w:t>
      </w:r>
    </w:p>
    <w:p w14:paraId="426A48F4">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w:t>
      </w:r>
    </w:p>
    <w:p w14:paraId="1F1041A1">
      <w:pPr>
        <w:spacing w:line="360" w:lineRule="auto"/>
        <w:ind w:firstLine="360" w:firstLineChars="150"/>
        <w:jc w:val="left"/>
        <w:rPr>
          <w:rFonts w:ascii="仿宋_GB2312" w:hAnsi="宋体" w:eastAsia="仿宋_GB2312"/>
          <w:bCs/>
          <w:color w:val="000000" w:themeColor="text1"/>
          <w:sz w:val="24"/>
        </w:rPr>
      </w:pPr>
      <w:r>
        <w:rPr>
          <w:rFonts w:hint="eastAsia" w:ascii="仿宋_GB2312" w:hAnsi="宋体" w:eastAsia="仿宋_GB2312"/>
          <w:bCs/>
          <w:color w:val="FF0000"/>
          <w:sz w:val="24"/>
        </w:rPr>
        <w:t>若有涉及装修改造部分，增加此项要求：</w:t>
      </w:r>
      <w:r>
        <w:rPr>
          <w:rFonts w:hint="eastAsia" w:ascii="仿宋_GB2312" w:hAnsi="宋体" w:eastAsia="仿宋_GB2312"/>
          <w:bCs/>
          <w:color w:val="000000" w:themeColor="text1"/>
          <w:sz w:val="24"/>
        </w:rPr>
        <w:t>装修或改造工程：按学院工程验收管理规定组织验收。</w:t>
      </w:r>
    </w:p>
    <w:p w14:paraId="1E29E132">
      <w:pPr>
        <w:spacing w:line="360" w:lineRule="auto"/>
        <w:jc w:val="left"/>
        <w:rPr>
          <w:rFonts w:ascii="仿宋_GB2312" w:eastAsia="仿宋_GB2312"/>
          <w:bCs/>
          <w:sz w:val="24"/>
        </w:rPr>
      </w:pPr>
      <w:r>
        <w:rPr>
          <w:rFonts w:hint="eastAsia" w:ascii="仿宋_GB2312" w:hAnsi="宋体" w:eastAsia="仿宋_GB2312"/>
          <w:bCs/>
          <w:sz w:val="24"/>
          <w:lang w:val="en-US" w:eastAsia="zh-CN"/>
        </w:rPr>
        <w:t>7</w:t>
      </w:r>
      <w:r>
        <w:rPr>
          <w:rFonts w:hint="eastAsia" w:ascii="仿宋_GB2312" w:hAnsi="宋体" w:eastAsia="仿宋_GB2312"/>
          <w:bCs/>
          <w:sz w:val="24"/>
        </w:rPr>
        <w:t>.维保服务要求</w:t>
      </w:r>
    </w:p>
    <w:p w14:paraId="121B29A6">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lang w:val="en-US" w:eastAsia="zh-CN"/>
        </w:rPr>
        <w:t>7</w:t>
      </w:r>
      <w:r>
        <w:rPr>
          <w:rFonts w:hint="eastAsia" w:ascii="仿宋_GB2312" w:hAnsi="宋体" w:eastAsia="仿宋_GB2312"/>
          <w:bCs/>
          <w:sz w:val="24"/>
        </w:rPr>
        <w:t>.1维保服务期：</w:t>
      </w:r>
    </w:p>
    <w:p w14:paraId="332EDD92">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lang w:val="en-US" w:eastAsia="zh-CN"/>
        </w:rPr>
        <w:t>7</w:t>
      </w:r>
      <w:r>
        <w:rPr>
          <w:rFonts w:hint="eastAsia" w:ascii="仿宋_GB2312" w:hAnsi="宋体" w:eastAsia="仿宋_GB2312"/>
          <w:bCs/>
          <w:sz w:val="24"/>
        </w:rPr>
        <w:t>.2维保服务期内：</w:t>
      </w:r>
    </w:p>
    <w:p w14:paraId="20E904C0">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lang w:val="en-US" w:eastAsia="zh-CN"/>
        </w:rPr>
        <w:t>7</w:t>
      </w:r>
      <w:r>
        <w:rPr>
          <w:rFonts w:hint="eastAsia" w:ascii="仿宋_GB2312" w:hAnsi="宋体" w:eastAsia="仿宋_GB2312"/>
          <w:bCs/>
          <w:sz w:val="24"/>
        </w:rPr>
        <w:t>.3维保服务期后：</w:t>
      </w:r>
    </w:p>
    <w:p w14:paraId="1AF39B84">
      <w:pPr>
        <w:spacing w:line="360" w:lineRule="auto"/>
        <w:jc w:val="left"/>
        <w:rPr>
          <w:rFonts w:ascii="仿宋_GB2312" w:hAnsi="宋体" w:eastAsia="仿宋_GB2312"/>
          <w:bCs/>
          <w:sz w:val="24"/>
        </w:rPr>
      </w:pPr>
      <w:r>
        <w:rPr>
          <w:rFonts w:hint="eastAsia" w:ascii="仿宋_GB2312" w:hAnsi="宋体" w:eastAsia="仿宋_GB2312"/>
          <w:bCs/>
          <w:sz w:val="24"/>
          <w:lang w:val="en-US" w:eastAsia="zh-CN"/>
        </w:rPr>
        <w:t>8</w:t>
      </w:r>
      <w:r>
        <w:rPr>
          <w:rFonts w:hint="eastAsia" w:ascii="仿宋_GB2312" w:hAnsi="宋体" w:eastAsia="仿宋_GB2312"/>
          <w:bCs/>
          <w:sz w:val="24"/>
        </w:rPr>
        <w:t>.技术资料要求</w:t>
      </w:r>
    </w:p>
    <w:p w14:paraId="7E9B3E51">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w:t>
      </w:r>
    </w:p>
    <w:p w14:paraId="290EA02E">
      <w:pPr>
        <w:spacing w:line="360" w:lineRule="auto"/>
        <w:jc w:val="left"/>
        <w:rPr>
          <w:rFonts w:ascii="仿宋_GB2312" w:eastAsia="仿宋_GB2312"/>
          <w:color w:val="FF0000"/>
          <w:sz w:val="24"/>
        </w:rPr>
      </w:pPr>
      <w:r>
        <w:rPr>
          <w:rFonts w:hint="eastAsia" w:ascii="仿宋_GB2312" w:eastAsia="仿宋_GB2312"/>
          <w:sz w:val="24"/>
          <w:lang w:val="en-US" w:eastAsia="zh-CN"/>
        </w:rPr>
        <w:t>9</w:t>
      </w:r>
      <w:r>
        <w:rPr>
          <w:rFonts w:hint="eastAsia" w:ascii="仿宋_GB2312" w:eastAsia="仿宋_GB2312"/>
          <w:sz w:val="24"/>
        </w:rPr>
        <w:t>．违约责任</w:t>
      </w:r>
      <w:r>
        <w:rPr>
          <w:rFonts w:hint="eastAsia" w:ascii="仿宋_GB2312" w:eastAsia="仿宋_GB2312"/>
          <w:color w:val="FF0000"/>
          <w:sz w:val="24"/>
        </w:rPr>
        <w:t>（注：以下条款</w:t>
      </w:r>
      <w:r>
        <w:rPr>
          <w:rFonts w:hint="eastAsia" w:ascii="仿宋_GB2312" w:eastAsia="仿宋_GB2312"/>
          <w:color w:val="FF0000"/>
          <w:sz w:val="24"/>
          <w:lang w:val="en-US" w:eastAsia="zh-CN"/>
        </w:rPr>
        <w:t>为基本要求</w:t>
      </w:r>
      <w:r>
        <w:rPr>
          <w:rFonts w:hint="eastAsia" w:ascii="仿宋_GB2312" w:eastAsia="仿宋_GB2312"/>
          <w:color w:val="FF0000"/>
          <w:sz w:val="24"/>
        </w:rPr>
        <w:t>，可根据项目实际情况</w:t>
      </w:r>
      <w:r>
        <w:rPr>
          <w:rFonts w:hint="eastAsia" w:ascii="仿宋_GB2312" w:eastAsia="仿宋_GB2312"/>
          <w:color w:val="FF0000"/>
          <w:sz w:val="24"/>
          <w:lang w:val="en-US" w:eastAsia="zh-CN"/>
        </w:rPr>
        <w:t>增加</w:t>
      </w:r>
      <w:r>
        <w:rPr>
          <w:rFonts w:hint="eastAsia" w:ascii="仿宋_GB2312" w:eastAsia="仿宋_GB2312"/>
          <w:color w:val="FF0000"/>
          <w:sz w:val="24"/>
        </w:rPr>
        <w:t>）</w:t>
      </w:r>
    </w:p>
    <w:p w14:paraId="0ACCDA70">
      <w:pPr>
        <w:spacing w:line="360" w:lineRule="auto"/>
        <w:jc w:val="left"/>
        <w:rPr>
          <w:rFonts w:hint="eastAsia" w:ascii="仿宋" w:hAnsi="仿宋" w:eastAsia="仿宋"/>
          <w:bCs/>
          <w:color w:val="000000" w:themeColor="text1"/>
          <w:sz w:val="24"/>
        </w:rPr>
      </w:pPr>
      <w:r>
        <w:rPr>
          <w:rFonts w:hint="eastAsia" w:ascii="仿宋" w:hAnsi="仿宋" w:eastAsia="仿宋"/>
          <w:bCs/>
          <w:color w:val="000000" w:themeColor="text1"/>
          <w:sz w:val="24"/>
        </w:rPr>
        <w:t>（1）</w:t>
      </w:r>
      <w:r>
        <w:rPr>
          <w:rFonts w:hint="eastAsia" w:ascii="仿宋" w:hAnsi="仿宋" w:eastAsia="仿宋"/>
          <w:bCs/>
          <w:color w:val="000000" w:themeColor="text1"/>
          <w:sz w:val="24"/>
          <w:lang w:val="en-US" w:eastAsia="zh-CN"/>
        </w:rPr>
        <w:t>中标人</w:t>
      </w:r>
      <w:r>
        <w:rPr>
          <w:rFonts w:hint="eastAsia" w:ascii="仿宋" w:hAnsi="仿宋" w:eastAsia="仿宋"/>
          <w:bCs/>
          <w:color w:val="000000" w:themeColor="text1"/>
          <w:sz w:val="24"/>
        </w:rPr>
        <w:t>逾期履行服务的，</w:t>
      </w:r>
      <w:r>
        <w:rPr>
          <w:rFonts w:hint="eastAsia" w:ascii="仿宋" w:hAnsi="仿宋" w:eastAsia="仿宋"/>
          <w:bCs/>
          <w:color w:val="000000" w:themeColor="text1"/>
          <w:sz w:val="24"/>
          <w:lang w:val="en-US" w:eastAsia="zh-CN"/>
        </w:rPr>
        <w:t>中标人</w:t>
      </w:r>
      <w:r>
        <w:rPr>
          <w:rFonts w:hint="eastAsia" w:ascii="仿宋" w:hAnsi="仿宋" w:eastAsia="仿宋"/>
          <w:bCs/>
          <w:color w:val="000000" w:themeColor="text1"/>
          <w:sz w:val="24"/>
        </w:rPr>
        <w:t>应按逾期交付总额每日</w:t>
      </w:r>
      <w:r>
        <w:rPr>
          <w:rFonts w:hint="eastAsia" w:ascii="仿宋_GB2312" w:hAnsi="宋体" w:eastAsia="仿宋_GB2312"/>
          <w:bCs/>
          <w:color w:val="000000" w:themeColor="text1"/>
          <w:sz w:val="24"/>
        </w:rPr>
        <w:t>3‰</w:t>
      </w:r>
      <w:r>
        <w:rPr>
          <w:rFonts w:hint="eastAsia" w:ascii="仿宋" w:hAnsi="仿宋" w:eastAsia="仿宋"/>
          <w:bCs/>
          <w:color w:val="000000" w:themeColor="text1"/>
          <w:sz w:val="24"/>
        </w:rPr>
        <w:t>向</w:t>
      </w:r>
      <w:r>
        <w:rPr>
          <w:rFonts w:hint="eastAsia" w:ascii="仿宋" w:hAnsi="仿宋" w:eastAsia="仿宋"/>
          <w:bCs/>
          <w:color w:val="000000" w:themeColor="text1"/>
          <w:sz w:val="24"/>
          <w:lang w:val="en-US" w:eastAsia="zh-CN"/>
        </w:rPr>
        <w:t>采购人</w:t>
      </w:r>
      <w:r>
        <w:rPr>
          <w:rFonts w:hint="eastAsia" w:ascii="仿宋" w:hAnsi="仿宋" w:eastAsia="仿宋"/>
          <w:bCs/>
          <w:color w:val="000000" w:themeColor="text1"/>
          <w:sz w:val="24"/>
        </w:rPr>
        <w:t>支付违约金，由</w:t>
      </w:r>
      <w:r>
        <w:rPr>
          <w:rFonts w:hint="eastAsia" w:ascii="仿宋" w:hAnsi="仿宋" w:eastAsia="仿宋"/>
          <w:bCs/>
          <w:color w:val="000000" w:themeColor="text1"/>
          <w:sz w:val="24"/>
          <w:lang w:val="en-US" w:eastAsia="zh-CN"/>
        </w:rPr>
        <w:t>采购人</w:t>
      </w:r>
      <w:r>
        <w:rPr>
          <w:rFonts w:hint="eastAsia" w:ascii="仿宋" w:hAnsi="仿宋" w:eastAsia="仿宋"/>
          <w:bCs/>
          <w:color w:val="000000" w:themeColor="text1"/>
          <w:sz w:val="24"/>
        </w:rPr>
        <w:t>从待付货款中扣除。</w:t>
      </w:r>
      <w:r>
        <w:rPr>
          <w:rFonts w:hint="eastAsia" w:ascii="仿宋" w:hAnsi="仿宋" w:eastAsia="仿宋"/>
          <w:bCs/>
          <w:color w:val="000000" w:themeColor="text1"/>
          <w:sz w:val="24"/>
          <w:lang w:val="en-US" w:eastAsia="zh-CN"/>
        </w:rPr>
        <w:t>中标人</w:t>
      </w:r>
      <w:r>
        <w:rPr>
          <w:rFonts w:hint="eastAsia" w:ascii="仿宋" w:hAnsi="仿宋" w:eastAsia="仿宋"/>
          <w:bCs/>
          <w:color w:val="000000" w:themeColor="text1"/>
          <w:sz w:val="24"/>
        </w:rPr>
        <w:t>无正当理由逾期超过约定日期</w:t>
      </w:r>
      <w:r>
        <w:rPr>
          <w:rFonts w:hint="eastAsia" w:ascii="仿宋" w:hAnsi="仿宋" w:eastAsia="仿宋"/>
          <w:bCs/>
          <w:color w:val="000000" w:themeColor="text1"/>
          <w:sz w:val="24"/>
          <w:lang w:val="en-US" w:eastAsia="zh-CN"/>
        </w:rPr>
        <w:t>30日</w:t>
      </w:r>
      <w:r>
        <w:rPr>
          <w:rFonts w:hint="eastAsia" w:ascii="仿宋" w:hAnsi="仿宋" w:eastAsia="仿宋"/>
          <w:bCs/>
          <w:color w:val="000000" w:themeColor="text1"/>
          <w:sz w:val="24"/>
        </w:rPr>
        <w:t>仍不能交付的，视为“</w:t>
      </w:r>
      <w:r>
        <w:rPr>
          <w:rFonts w:hint="eastAsia" w:ascii="仿宋" w:hAnsi="仿宋" w:eastAsia="仿宋"/>
          <w:bCs/>
          <w:color w:val="000000" w:themeColor="text1"/>
          <w:sz w:val="24"/>
          <w:lang w:val="en-US" w:eastAsia="zh-CN"/>
        </w:rPr>
        <w:t>中标人</w:t>
      </w:r>
      <w:r>
        <w:rPr>
          <w:rFonts w:hint="eastAsia" w:ascii="仿宋" w:hAnsi="仿宋" w:eastAsia="仿宋"/>
          <w:bCs/>
          <w:color w:val="000000" w:themeColor="text1"/>
          <w:sz w:val="24"/>
        </w:rPr>
        <w:t>不按合同约定履约”；</w:t>
      </w:r>
    </w:p>
    <w:p w14:paraId="17BF06FD">
      <w:pPr>
        <w:spacing w:line="360" w:lineRule="auto"/>
        <w:jc w:val="left"/>
        <w:rPr>
          <w:rFonts w:hint="eastAsia" w:ascii="仿宋" w:hAnsi="仿宋" w:eastAsia="仿宋"/>
          <w:bCs/>
          <w:color w:val="000000" w:themeColor="text1"/>
          <w:sz w:val="24"/>
        </w:rPr>
      </w:pPr>
      <w:r>
        <w:rPr>
          <w:rFonts w:hint="eastAsia" w:ascii="仿宋" w:hAnsi="仿宋" w:eastAsia="仿宋"/>
          <w:bCs/>
          <w:color w:val="000000" w:themeColor="text1"/>
          <w:sz w:val="24"/>
        </w:rPr>
        <w:t>（2）</w:t>
      </w:r>
      <w:r>
        <w:rPr>
          <w:rFonts w:hint="eastAsia" w:ascii="仿宋" w:hAnsi="仿宋" w:eastAsia="仿宋"/>
          <w:bCs/>
          <w:color w:val="000000" w:themeColor="text1"/>
          <w:sz w:val="24"/>
          <w:lang w:val="en-US" w:eastAsia="zh-CN"/>
        </w:rPr>
        <w:t>中标人</w:t>
      </w:r>
      <w:r>
        <w:rPr>
          <w:rFonts w:hint="eastAsia" w:ascii="仿宋" w:hAnsi="仿宋" w:eastAsia="仿宋"/>
          <w:bCs/>
          <w:color w:val="000000" w:themeColor="text1"/>
          <w:sz w:val="24"/>
        </w:rPr>
        <w:t>所交付的产品不符合合同规定及《采购文件》规定标准的，</w:t>
      </w:r>
      <w:r>
        <w:rPr>
          <w:rFonts w:hint="eastAsia" w:ascii="仿宋" w:hAnsi="仿宋" w:eastAsia="仿宋"/>
          <w:bCs/>
          <w:color w:val="000000" w:themeColor="text1"/>
          <w:sz w:val="24"/>
          <w:lang w:val="en-US" w:eastAsia="zh-CN"/>
        </w:rPr>
        <w:t>采购人</w:t>
      </w:r>
      <w:r>
        <w:rPr>
          <w:rFonts w:hint="eastAsia" w:ascii="仿宋" w:hAnsi="仿宋" w:eastAsia="仿宋"/>
          <w:bCs/>
          <w:color w:val="000000" w:themeColor="text1"/>
          <w:sz w:val="24"/>
        </w:rPr>
        <w:t>有权拒收，</w:t>
      </w:r>
      <w:r>
        <w:rPr>
          <w:rFonts w:hint="eastAsia" w:ascii="仿宋" w:hAnsi="仿宋" w:eastAsia="仿宋"/>
          <w:bCs/>
          <w:color w:val="000000" w:themeColor="text1"/>
          <w:sz w:val="24"/>
          <w:lang w:val="en-US" w:eastAsia="zh-CN"/>
        </w:rPr>
        <w:t>中标人</w:t>
      </w:r>
      <w:r>
        <w:rPr>
          <w:rFonts w:hint="eastAsia" w:ascii="仿宋" w:hAnsi="仿宋" w:eastAsia="仿宋"/>
          <w:bCs/>
          <w:color w:val="000000" w:themeColor="text1"/>
          <w:sz w:val="24"/>
        </w:rPr>
        <w:t>愿意更换产品但逾期交货的，按</w:t>
      </w:r>
      <w:r>
        <w:rPr>
          <w:rFonts w:hint="eastAsia" w:ascii="仿宋" w:hAnsi="仿宋" w:eastAsia="仿宋"/>
          <w:bCs/>
          <w:color w:val="000000" w:themeColor="text1"/>
          <w:sz w:val="24"/>
          <w:lang w:val="en-US" w:eastAsia="zh-CN"/>
        </w:rPr>
        <w:t>中标人</w:t>
      </w:r>
      <w:r>
        <w:rPr>
          <w:rFonts w:hint="eastAsia" w:ascii="仿宋" w:hAnsi="仿宋" w:eastAsia="仿宋"/>
          <w:bCs/>
          <w:color w:val="000000" w:themeColor="text1"/>
          <w:sz w:val="24"/>
        </w:rPr>
        <w:t>逾期交货处理。</w:t>
      </w:r>
      <w:r>
        <w:rPr>
          <w:rFonts w:hint="eastAsia" w:ascii="仿宋" w:hAnsi="仿宋" w:eastAsia="仿宋"/>
          <w:bCs/>
          <w:color w:val="000000" w:themeColor="text1"/>
          <w:sz w:val="24"/>
          <w:lang w:val="en-US" w:eastAsia="zh-CN"/>
        </w:rPr>
        <w:t>中标人</w:t>
      </w:r>
      <w:r>
        <w:rPr>
          <w:rFonts w:hint="eastAsia" w:ascii="仿宋" w:hAnsi="仿宋" w:eastAsia="仿宋"/>
          <w:bCs/>
          <w:color w:val="000000" w:themeColor="text1"/>
          <w:sz w:val="24"/>
        </w:rPr>
        <w:t>拒绝更换产品的，视为“</w:t>
      </w:r>
      <w:r>
        <w:rPr>
          <w:rFonts w:hint="eastAsia" w:ascii="仿宋" w:hAnsi="仿宋" w:eastAsia="仿宋"/>
          <w:bCs/>
          <w:color w:val="000000" w:themeColor="text1"/>
          <w:sz w:val="24"/>
          <w:lang w:val="en-US" w:eastAsia="zh-CN"/>
        </w:rPr>
        <w:t>中标人</w:t>
      </w:r>
      <w:r>
        <w:rPr>
          <w:rFonts w:hint="eastAsia" w:ascii="仿宋" w:hAnsi="仿宋" w:eastAsia="仿宋"/>
          <w:bCs/>
          <w:color w:val="000000" w:themeColor="text1"/>
          <w:sz w:val="24"/>
        </w:rPr>
        <w:t>不按合同约定履约”；</w:t>
      </w:r>
    </w:p>
    <w:p w14:paraId="41D00EA1">
      <w:pPr>
        <w:spacing w:line="360" w:lineRule="auto"/>
        <w:jc w:val="left"/>
        <w:rPr>
          <w:rFonts w:hint="eastAsia" w:ascii="仿宋" w:hAnsi="仿宋" w:eastAsia="仿宋"/>
          <w:bCs/>
          <w:color w:val="000000" w:themeColor="text1"/>
          <w:sz w:val="24"/>
          <w:lang w:eastAsia="zh-CN"/>
        </w:rPr>
      </w:pPr>
      <w:r>
        <w:rPr>
          <w:rFonts w:hint="eastAsia" w:ascii="仿宋" w:hAnsi="仿宋" w:eastAsia="仿宋"/>
          <w:bCs/>
          <w:color w:val="000000" w:themeColor="text1"/>
          <w:sz w:val="24"/>
        </w:rPr>
        <w:t>（3）</w:t>
      </w:r>
      <w:r>
        <w:rPr>
          <w:rFonts w:hint="eastAsia" w:ascii="仿宋" w:hAnsi="仿宋" w:eastAsia="仿宋"/>
          <w:bCs/>
          <w:color w:val="000000" w:themeColor="text1"/>
          <w:sz w:val="24"/>
          <w:lang w:val="en-US" w:eastAsia="zh-CN"/>
        </w:rPr>
        <w:t>中标人</w:t>
      </w:r>
      <w:r>
        <w:rPr>
          <w:rFonts w:hint="eastAsia" w:ascii="仿宋" w:hAnsi="仿宋" w:eastAsia="仿宋"/>
          <w:bCs/>
          <w:color w:val="000000" w:themeColor="text1"/>
          <w:sz w:val="24"/>
        </w:rPr>
        <w:t>不按合同约定履约的，</w:t>
      </w:r>
      <w:r>
        <w:rPr>
          <w:rFonts w:hint="eastAsia" w:ascii="仿宋" w:hAnsi="仿宋" w:eastAsia="仿宋"/>
          <w:bCs/>
          <w:color w:val="000000" w:themeColor="text1"/>
          <w:sz w:val="24"/>
          <w:lang w:val="en-US" w:eastAsia="zh-CN"/>
        </w:rPr>
        <w:t>采购人</w:t>
      </w:r>
      <w:r>
        <w:rPr>
          <w:rFonts w:hint="eastAsia" w:ascii="仿宋" w:hAnsi="仿宋" w:eastAsia="仿宋"/>
          <w:bCs/>
          <w:color w:val="000000" w:themeColor="text1"/>
          <w:sz w:val="24"/>
        </w:rPr>
        <w:t>可以解除采购合同，并对</w:t>
      </w:r>
      <w:r>
        <w:rPr>
          <w:rFonts w:hint="eastAsia" w:ascii="仿宋" w:hAnsi="仿宋" w:eastAsia="仿宋"/>
          <w:bCs/>
          <w:color w:val="000000" w:themeColor="text1"/>
          <w:sz w:val="24"/>
          <w:lang w:val="en-US" w:eastAsia="zh-CN"/>
        </w:rPr>
        <w:t>中标人</w:t>
      </w:r>
      <w:r>
        <w:rPr>
          <w:rFonts w:hint="eastAsia" w:ascii="仿宋" w:hAnsi="仿宋" w:eastAsia="仿宋"/>
          <w:bCs/>
          <w:color w:val="000000" w:themeColor="text1"/>
          <w:sz w:val="24"/>
        </w:rPr>
        <w:t>已缴纳的履约保证金作“不予退还”处理。同时，</w:t>
      </w:r>
      <w:r>
        <w:rPr>
          <w:rFonts w:hint="eastAsia" w:ascii="仿宋" w:hAnsi="仿宋" w:eastAsia="仿宋"/>
          <w:bCs/>
          <w:color w:val="000000" w:themeColor="text1"/>
          <w:sz w:val="24"/>
          <w:lang w:val="en-US" w:eastAsia="zh-CN"/>
        </w:rPr>
        <w:t>中标人</w:t>
      </w:r>
      <w:r>
        <w:rPr>
          <w:rFonts w:hint="eastAsia" w:ascii="仿宋" w:hAnsi="仿宋" w:eastAsia="仿宋"/>
          <w:bCs/>
          <w:color w:val="000000" w:themeColor="text1"/>
          <w:sz w:val="24"/>
        </w:rPr>
        <w:t>还须按</w:t>
      </w:r>
      <w:r>
        <w:rPr>
          <w:rFonts w:hint="eastAsia" w:ascii="仿宋" w:hAnsi="仿宋" w:eastAsia="仿宋"/>
          <w:bCs/>
          <w:color w:val="000000" w:themeColor="text1"/>
          <w:sz w:val="24"/>
          <w:lang w:val="en-US" w:eastAsia="zh-CN"/>
        </w:rPr>
        <w:t>合同金额的30%</w:t>
      </w:r>
      <w:r>
        <w:rPr>
          <w:rFonts w:hint="eastAsia" w:ascii="仿宋" w:hAnsi="仿宋" w:eastAsia="仿宋"/>
          <w:bCs/>
          <w:color w:val="000000" w:themeColor="text1"/>
          <w:sz w:val="24"/>
        </w:rPr>
        <w:t>向</w:t>
      </w:r>
      <w:r>
        <w:rPr>
          <w:rFonts w:hint="eastAsia" w:ascii="仿宋" w:hAnsi="仿宋" w:eastAsia="仿宋"/>
          <w:bCs/>
          <w:color w:val="000000" w:themeColor="text1"/>
          <w:sz w:val="24"/>
          <w:lang w:val="en-US" w:eastAsia="zh-CN"/>
        </w:rPr>
        <w:t>采购人</w:t>
      </w:r>
      <w:r>
        <w:rPr>
          <w:rFonts w:hint="eastAsia" w:ascii="仿宋" w:hAnsi="仿宋" w:eastAsia="仿宋"/>
          <w:bCs/>
          <w:color w:val="000000" w:themeColor="text1"/>
          <w:sz w:val="24"/>
        </w:rPr>
        <w:t>支付违约金</w:t>
      </w:r>
      <w:r>
        <w:rPr>
          <w:rFonts w:hint="eastAsia" w:ascii="仿宋" w:hAnsi="仿宋" w:eastAsia="仿宋"/>
          <w:bCs/>
          <w:color w:val="000000" w:themeColor="text1"/>
          <w:sz w:val="24"/>
          <w:lang w:eastAsia="zh-CN"/>
        </w:rPr>
        <w:t>。</w:t>
      </w:r>
    </w:p>
    <w:p w14:paraId="35CFED61">
      <w:pPr>
        <w:spacing w:line="360" w:lineRule="auto"/>
        <w:jc w:val="left"/>
        <w:rPr>
          <w:rFonts w:ascii="仿宋_GB2312" w:eastAsia="仿宋_GB2312"/>
          <w:bCs/>
          <w:sz w:val="24"/>
        </w:rPr>
      </w:pPr>
      <w:r>
        <w:rPr>
          <w:rFonts w:hint="eastAsia" w:ascii="仿宋_GB2312" w:eastAsia="仿宋_GB2312"/>
          <w:bCs/>
          <w:sz w:val="24"/>
          <w:lang w:val="en-US" w:eastAsia="zh-CN"/>
        </w:rPr>
        <w:t>10</w:t>
      </w:r>
      <w:r>
        <w:rPr>
          <w:rFonts w:hint="eastAsia" w:ascii="仿宋_GB2312" w:eastAsia="仿宋_GB2312"/>
          <w:bCs/>
          <w:sz w:val="24"/>
        </w:rPr>
        <w:t>.其他要求</w:t>
      </w:r>
      <w:r>
        <w:rPr>
          <w:rFonts w:hint="eastAsia" w:ascii="仿宋_GB2312" w:eastAsia="仿宋_GB2312"/>
          <w:bCs/>
          <w:color w:val="FF0000"/>
          <w:sz w:val="24"/>
        </w:rPr>
        <w:t>（若无其他要求，请删除此条目）</w:t>
      </w:r>
    </w:p>
    <w:p w14:paraId="695C4DE5">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w:t>
      </w:r>
    </w:p>
    <w:p w14:paraId="189DAFAC">
      <w:pPr>
        <w:spacing w:line="360" w:lineRule="auto"/>
        <w:jc w:val="left"/>
        <w:rPr>
          <w:rFonts w:hint="eastAsia" w:ascii="仿宋_GB2312" w:hAnsi="宋体" w:eastAsia="仿宋_GB2312"/>
          <w:bCs/>
          <w:sz w:val="24"/>
        </w:rPr>
      </w:pPr>
    </w:p>
    <w:p w14:paraId="1C5F0E10">
      <w:pPr>
        <w:spacing w:line="360" w:lineRule="auto"/>
        <w:jc w:val="left"/>
        <w:rPr>
          <w:rFonts w:ascii="仿宋_GB2312" w:eastAsia="仿宋_GB2312"/>
          <w:bCs/>
          <w:sz w:val="24"/>
        </w:rPr>
      </w:pPr>
      <w:r>
        <w:rPr>
          <w:rFonts w:hint="eastAsia" w:ascii="仿宋_GB2312" w:hAnsi="宋体" w:eastAsia="仿宋_GB2312"/>
          <w:b/>
          <w:bCs w:val="0"/>
          <w:sz w:val="24"/>
          <w:lang w:val="en-US" w:eastAsia="zh-CN"/>
        </w:rPr>
        <w:t>六、</w:t>
      </w:r>
      <w:r>
        <w:rPr>
          <w:rFonts w:hint="eastAsia" w:ascii="仿宋_GB2312" w:hAnsi="宋体" w:eastAsia="仿宋_GB2312"/>
          <w:b/>
          <w:bCs w:val="0"/>
          <w:sz w:val="24"/>
        </w:rPr>
        <w:t>评标办法</w:t>
      </w:r>
      <w:r>
        <w:rPr>
          <w:rFonts w:hint="eastAsia" w:ascii="仿宋_GB2312" w:hAnsi="宋体" w:eastAsia="仿宋_GB2312"/>
          <w:bCs/>
          <w:color w:val="FF0000"/>
          <w:sz w:val="24"/>
        </w:rPr>
        <w:t>（请在以下两种评标方法中选其一即可，同时删除另一种评标办法）</w:t>
      </w:r>
    </w:p>
    <w:p w14:paraId="6624201F">
      <w:pPr>
        <w:spacing w:line="360" w:lineRule="auto"/>
        <w:ind w:firstLine="480" w:firstLineChars="200"/>
        <w:jc w:val="left"/>
        <w:rPr>
          <w:rFonts w:hint="eastAsia" w:ascii="仿宋_GB2312" w:hAnsi="宋体" w:eastAsia="仿宋_GB2312"/>
          <w:bCs/>
          <w:sz w:val="24"/>
        </w:rPr>
      </w:pPr>
      <w:r>
        <w:rPr>
          <w:rFonts w:hint="eastAsia" w:ascii="仿宋_GB2312" w:hAnsi="宋体" w:eastAsia="仿宋_GB2312"/>
          <w:bCs/>
          <w:sz w:val="24"/>
          <w:lang w:val="en-US" w:eastAsia="zh-CN"/>
        </w:rPr>
        <w:t>1.</w:t>
      </w:r>
      <w:r>
        <w:rPr>
          <w:rFonts w:hint="eastAsia" w:ascii="仿宋_GB2312" w:hAnsi="宋体" w:eastAsia="仿宋_GB2312"/>
          <w:bCs/>
          <w:sz w:val="24"/>
        </w:rPr>
        <w:t>最低评标价法。</w:t>
      </w:r>
    </w:p>
    <w:p w14:paraId="5FBEF9AF">
      <w:pPr>
        <w:spacing w:line="360" w:lineRule="auto"/>
        <w:ind w:firstLine="480" w:firstLineChars="200"/>
        <w:jc w:val="left"/>
        <w:rPr>
          <w:rFonts w:ascii="仿宋_GB2312" w:eastAsia="仿宋_GB2312" w:cs="宋体"/>
          <w:sz w:val="24"/>
        </w:rPr>
      </w:pPr>
      <w:r>
        <w:rPr>
          <w:rFonts w:hint="eastAsia" w:ascii="仿宋_GB2312" w:hAnsi="宋体" w:eastAsia="仿宋_GB2312"/>
          <w:bCs/>
          <w:sz w:val="24"/>
          <w:lang w:val="en-US" w:eastAsia="zh-CN"/>
        </w:rPr>
        <w:t>2.</w:t>
      </w:r>
      <w:r>
        <w:rPr>
          <w:rFonts w:hint="eastAsia" w:ascii="仿宋_GB2312" w:hAnsi="宋体" w:eastAsia="仿宋_GB2312"/>
          <w:bCs/>
          <w:sz w:val="24"/>
        </w:rPr>
        <w:t>综合评分法。</w:t>
      </w:r>
    </w:p>
    <w:p w14:paraId="5DEA8150">
      <w:pPr>
        <w:spacing w:line="360" w:lineRule="auto"/>
        <w:jc w:val="left"/>
        <w:rPr>
          <w:rFonts w:ascii="仿宋_GB2312" w:eastAsia="仿宋_GB2312"/>
          <w:b/>
          <w:bCs/>
          <w:color w:val="FF0000"/>
          <w:sz w:val="24"/>
        </w:rPr>
      </w:pPr>
      <w:r>
        <w:rPr>
          <w:rFonts w:hint="eastAsia" w:ascii="仿宋_GB2312" w:hAnsi="宋体" w:eastAsia="仿宋_GB2312"/>
          <w:b/>
          <w:bCs/>
          <w:color w:val="FF0000"/>
          <w:sz w:val="24"/>
        </w:rPr>
        <w:t>注：评标方法释义</w:t>
      </w:r>
    </w:p>
    <w:p w14:paraId="10640DD5">
      <w:pPr>
        <w:spacing w:line="360" w:lineRule="auto"/>
        <w:ind w:firstLine="240" w:firstLineChars="100"/>
        <w:jc w:val="left"/>
        <w:rPr>
          <w:rFonts w:ascii="仿宋_GB2312" w:eastAsia="仿宋_GB2312"/>
          <w:bCs/>
          <w:color w:val="FF0000"/>
          <w:sz w:val="24"/>
        </w:rPr>
      </w:pPr>
      <w:r>
        <w:rPr>
          <w:rFonts w:hint="eastAsia" w:ascii="仿宋_GB2312" w:hAnsi="宋体" w:eastAsia="仿宋_GB2312"/>
          <w:bCs/>
          <w:color w:val="FF0000"/>
          <w:sz w:val="24"/>
        </w:rPr>
        <w:t>（1）最低评标价法：是指以价格为主要因素确定中标候选供应商的评标办法，即在全部满足招标文件实质性要求前提下，依据统一的价格要素评定最低报价，以提出最低报价的投标人作为中标候选供应商或者中标供应商的评标方法。</w:t>
      </w:r>
    </w:p>
    <w:p w14:paraId="23D80030">
      <w:pPr>
        <w:spacing w:line="360" w:lineRule="auto"/>
        <w:ind w:firstLine="360" w:firstLineChars="150"/>
        <w:jc w:val="left"/>
        <w:rPr>
          <w:rFonts w:hint="eastAsia" w:ascii="仿宋_GB2312" w:hAnsi="宋体" w:eastAsia="仿宋_GB2312"/>
          <w:bCs/>
          <w:color w:val="FF0000"/>
          <w:sz w:val="24"/>
        </w:rPr>
      </w:pPr>
      <w:r>
        <w:rPr>
          <w:rFonts w:hint="eastAsia" w:ascii="仿宋_GB2312" w:hAnsi="宋体" w:eastAsia="仿宋_GB2312"/>
          <w:bCs/>
          <w:color w:val="FF0000"/>
          <w:sz w:val="24"/>
        </w:rPr>
        <w:t>（2）综合评分法：是指在最大限度地满足招标文件实质性要求前提下，按照招标文件中规定的各项因素进行综合评审后，以评标总得分最高的投标人作为中标候选供应商或者中标供应商的评标方法。</w:t>
      </w:r>
    </w:p>
    <w:p w14:paraId="11B930C1">
      <w:pPr>
        <w:spacing w:line="360" w:lineRule="auto"/>
        <w:jc w:val="left"/>
        <w:rPr>
          <w:rFonts w:hint="eastAsia" w:ascii="仿宋_GB2312" w:hAnsi="宋体" w:eastAsia="仿宋_GB2312"/>
          <w:bCs/>
          <w:color w:val="FF0000"/>
          <w:sz w:val="28"/>
          <w:szCs w:val="28"/>
          <w:highlight w:val="yellow"/>
          <w:lang w:val="en-US" w:eastAsia="zh-CN"/>
        </w:rPr>
      </w:pPr>
      <w:r>
        <w:rPr>
          <w:rFonts w:hint="eastAsia" w:ascii="仿宋_GB2312" w:hAnsi="宋体" w:eastAsia="仿宋_GB2312"/>
          <w:b/>
          <w:bCs w:val="0"/>
          <w:color w:val="FF0000"/>
          <w:sz w:val="28"/>
          <w:szCs w:val="28"/>
          <w:highlight w:val="yellow"/>
          <w:lang w:val="en-US" w:eastAsia="zh-CN"/>
        </w:rPr>
        <w:t>政策要求：</w:t>
      </w:r>
    </w:p>
    <w:p w14:paraId="5929D737">
      <w:pPr>
        <w:spacing w:line="360" w:lineRule="auto"/>
        <w:jc w:val="left"/>
        <w:rPr>
          <w:rFonts w:hint="eastAsia" w:ascii="仿宋_GB2312" w:hAnsi="宋体" w:eastAsia="仿宋_GB2312"/>
          <w:b/>
          <w:bCs w:val="0"/>
          <w:color w:val="FF0000"/>
          <w:sz w:val="32"/>
          <w:szCs w:val="32"/>
          <w:highlight w:val="yellow"/>
          <w:lang w:val="en-US" w:eastAsia="zh-CN"/>
        </w:rPr>
      </w:pPr>
      <w:r>
        <w:rPr>
          <w:rFonts w:hint="eastAsia" w:ascii="仿宋" w:hAnsi="仿宋" w:eastAsia="仿宋" w:cs="仿宋"/>
          <w:b/>
          <w:bCs w:val="0"/>
          <w:color w:val="FF0000"/>
          <w:sz w:val="32"/>
          <w:szCs w:val="32"/>
          <w:highlight w:val="yellow"/>
          <w:lang w:val="en-US" w:eastAsia="zh-CN"/>
        </w:rPr>
        <w:t>①</w:t>
      </w:r>
      <w:r>
        <w:rPr>
          <w:rFonts w:hint="default" w:ascii="仿宋_GB2312" w:hAnsi="宋体" w:eastAsia="仿宋_GB2312"/>
          <w:b/>
          <w:bCs w:val="0"/>
          <w:color w:val="FF0000"/>
          <w:sz w:val="32"/>
          <w:szCs w:val="32"/>
          <w:highlight w:val="yellow"/>
          <w:lang w:val="en-US" w:eastAsia="zh-CN"/>
        </w:rPr>
        <w:t>评审因素应当按照采购需求和与实现项目目标相关的其他因确定，应当与供应商提供货物服务的质量相关，包括报价、技术或者服务水平、履约能力、售后服务等，原则上以客观且可量化、细化的评审因素为主，</w:t>
      </w:r>
      <w:r>
        <w:rPr>
          <w:rFonts w:hint="default" w:ascii="仿宋_GB2312" w:hAnsi="宋体" w:eastAsia="仿宋_GB2312"/>
          <w:b/>
          <w:bCs w:val="0"/>
          <w:color w:val="FF0000"/>
          <w:sz w:val="32"/>
          <w:szCs w:val="32"/>
          <w:highlight w:val="cyan"/>
          <w:lang w:val="en-US" w:eastAsia="zh-CN"/>
        </w:rPr>
        <w:t>货物类项目尽可能不设置</w:t>
      </w:r>
      <w:r>
        <w:rPr>
          <w:rFonts w:hint="default" w:ascii="仿宋_GB2312" w:hAnsi="宋体" w:eastAsia="仿宋_GB2312"/>
          <w:b/>
          <w:bCs w:val="0"/>
          <w:color w:val="FF0000"/>
          <w:sz w:val="32"/>
          <w:szCs w:val="32"/>
          <w:highlight w:val="yellow"/>
          <w:lang w:val="en-US" w:eastAsia="zh-CN"/>
        </w:rPr>
        <w:t>主观评审因素</w:t>
      </w:r>
      <w:r>
        <w:rPr>
          <w:rFonts w:hint="eastAsia" w:ascii="仿宋_GB2312" w:hAnsi="宋体" w:eastAsia="仿宋_GB2312"/>
          <w:b/>
          <w:bCs w:val="0"/>
          <w:color w:val="FF0000"/>
          <w:sz w:val="32"/>
          <w:szCs w:val="32"/>
          <w:highlight w:val="yellow"/>
          <w:lang w:val="en-US" w:eastAsia="zh-CN"/>
        </w:rPr>
        <w:t>。</w:t>
      </w:r>
    </w:p>
    <w:p w14:paraId="18D672D0">
      <w:pPr>
        <w:spacing w:line="360" w:lineRule="auto"/>
        <w:jc w:val="left"/>
        <w:rPr>
          <w:rFonts w:hint="eastAsia" w:ascii="仿宋" w:hAnsi="仿宋" w:eastAsia="仿宋"/>
          <w:b/>
          <w:bCs/>
          <w:color w:val="FF0000"/>
          <w:sz w:val="32"/>
          <w:highlight w:val="yellow"/>
        </w:rPr>
      </w:pPr>
      <w:r>
        <w:rPr>
          <w:rFonts w:hint="eastAsia" w:ascii="仿宋" w:hAnsi="仿宋" w:eastAsia="仿宋" w:cs="仿宋"/>
          <w:b/>
          <w:bCs/>
          <w:color w:val="FF0000"/>
          <w:sz w:val="32"/>
          <w:highlight w:val="yellow"/>
        </w:rPr>
        <w:t>②</w:t>
      </w:r>
      <w:r>
        <w:rPr>
          <w:rFonts w:hint="eastAsia" w:ascii="仿宋" w:hAnsi="仿宋" w:eastAsia="仿宋"/>
          <w:b/>
          <w:bCs/>
          <w:color w:val="FF0000"/>
          <w:sz w:val="32"/>
          <w:highlight w:val="yellow"/>
        </w:rPr>
        <w:t>在“评标方法描述”栏填写的评审要求的阐述</w:t>
      </w:r>
      <w:r>
        <w:rPr>
          <w:rFonts w:hint="eastAsia" w:ascii="仿宋" w:hAnsi="仿宋" w:eastAsia="仿宋"/>
          <w:b/>
          <w:bCs/>
          <w:color w:val="FF0000"/>
          <w:sz w:val="32"/>
          <w:highlight w:val="yellow"/>
          <w:lang w:val="en-US" w:eastAsia="zh-CN"/>
        </w:rPr>
        <w:t>应</w:t>
      </w:r>
      <w:r>
        <w:rPr>
          <w:rFonts w:hint="eastAsia" w:ascii="仿宋" w:hAnsi="仿宋" w:eastAsia="仿宋"/>
          <w:b/>
          <w:bCs/>
          <w:color w:val="FF0000"/>
          <w:sz w:val="32"/>
          <w:highlight w:val="yellow"/>
        </w:rPr>
        <w:t>合理划分评审标准等次，每项评审因素不得少于 3个等次，明确每一等次的评审判断标准，努力实现主观评审因素的客观化，不得使用“优、良、中、差”等不具体、不明确的表述。</w:t>
      </w:r>
    </w:p>
    <w:p w14:paraId="387D57D5">
      <w:pPr>
        <w:spacing w:line="360" w:lineRule="auto"/>
        <w:jc w:val="left"/>
        <w:rPr>
          <w:rFonts w:hint="default" w:ascii="仿宋" w:hAnsi="仿宋" w:eastAsia="仿宋"/>
          <w:b/>
          <w:bCs/>
          <w:color w:val="FF0000"/>
          <w:sz w:val="32"/>
          <w:highlight w:val="yellow"/>
          <w:lang w:val="en-US" w:eastAsia="zh-CN"/>
        </w:rPr>
      </w:pPr>
      <w:r>
        <w:rPr>
          <w:rFonts w:hint="eastAsia" w:ascii="仿宋" w:hAnsi="仿宋" w:eastAsia="仿宋" w:cs="仿宋"/>
          <w:b/>
          <w:bCs/>
          <w:color w:val="FF0000"/>
          <w:sz w:val="32"/>
          <w:highlight w:val="yellow"/>
          <w:lang w:val="en-US" w:eastAsia="zh-CN"/>
        </w:rPr>
        <w:t>③</w:t>
      </w:r>
      <w:r>
        <w:rPr>
          <w:rFonts w:hint="default" w:ascii="仿宋" w:hAnsi="仿宋" w:eastAsia="仿宋"/>
          <w:b/>
          <w:bCs/>
          <w:color w:val="FF0000"/>
          <w:sz w:val="32"/>
          <w:highlight w:val="yellow"/>
          <w:lang w:val="en-US" w:eastAsia="zh-CN"/>
        </w:rPr>
        <w:t>项目主观评审因素分差原则上不得超过 3分。即所有主观评审因素完全满足与部分满足等次间的分差总计原则上不得超过 3分，例如：共 10个主观评审因素，分别设置完全满足、部分满足和不满足 3个等次，则每个评审因素完全满足与部分满足等次间的分差不超过 0.3分，总计不超过 3分；</w:t>
      </w:r>
    </w:p>
    <w:p w14:paraId="6A58100C">
      <w:pPr>
        <w:pStyle w:val="10"/>
        <w:numPr>
          <w:ilvl w:val="0"/>
          <w:numId w:val="0"/>
        </w:numPr>
        <w:spacing w:line="360" w:lineRule="auto"/>
        <w:ind w:leftChars="0"/>
        <w:jc w:val="left"/>
        <w:rPr>
          <w:rFonts w:ascii="仿宋_GB2312" w:hAnsi="宋体" w:eastAsia="仿宋_GB2312"/>
          <w:bCs/>
          <w:color w:val="FF0000"/>
          <w:sz w:val="24"/>
        </w:rPr>
      </w:pPr>
      <w:r>
        <w:rPr>
          <w:rFonts w:hint="eastAsia" w:ascii="仿宋" w:hAnsi="仿宋" w:eastAsia="仿宋" w:cs="仿宋"/>
          <w:bCs/>
          <w:color w:val="FF0000"/>
          <w:sz w:val="24"/>
        </w:rPr>
        <w:t>④</w:t>
      </w:r>
      <w:r>
        <w:rPr>
          <w:rFonts w:hint="eastAsia" w:ascii="仿宋_GB2312" w:hAnsi="宋体" w:eastAsia="仿宋_GB2312"/>
          <w:bCs/>
          <w:color w:val="FF0000"/>
          <w:sz w:val="24"/>
        </w:rPr>
        <w:t>价格分值占比</w:t>
      </w:r>
      <w:r>
        <w:rPr>
          <w:rFonts w:hint="eastAsia" w:ascii="仿宋" w:hAnsi="仿宋" w:eastAsia="仿宋"/>
          <w:bCs/>
          <w:color w:val="FF0000"/>
          <w:sz w:val="24"/>
        </w:rPr>
        <w:t>≥</w:t>
      </w:r>
      <w:r>
        <w:rPr>
          <w:rFonts w:ascii="仿宋_GB2312" w:hAnsi="宋体" w:eastAsia="仿宋_GB2312"/>
          <w:bCs/>
          <w:color w:val="FF0000"/>
          <w:sz w:val="24"/>
        </w:rPr>
        <w:t>4</w:t>
      </w:r>
      <w:r>
        <w:rPr>
          <w:rFonts w:hint="eastAsia" w:ascii="仿宋_GB2312" w:hAnsi="宋体" w:eastAsia="仿宋_GB2312"/>
          <w:bCs/>
          <w:color w:val="FF0000"/>
          <w:sz w:val="24"/>
        </w:rPr>
        <w:t>0%，满分100分。</w:t>
      </w:r>
    </w:p>
    <w:p w14:paraId="282EDD02">
      <w:pPr>
        <w:spacing w:line="360" w:lineRule="auto"/>
        <w:jc w:val="left"/>
        <w:rPr>
          <w:rFonts w:hint="eastAsia" w:ascii="仿宋_GB2312" w:hAnsi="宋体" w:eastAsia="仿宋_GB2312"/>
          <w:bCs/>
          <w:color w:val="FF0000"/>
          <w:sz w:val="24"/>
        </w:rPr>
      </w:pPr>
      <w:r>
        <w:rPr>
          <w:rFonts w:hint="eastAsia" w:ascii="仿宋" w:hAnsi="仿宋" w:eastAsia="仿宋" w:cs="仿宋"/>
          <w:bCs/>
          <w:color w:val="FF0000"/>
          <w:sz w:val="24"/>
        </w:rPr>
        <w:t>⑤</w:t>
      </w:r>
      <w:r>
        <w:rPr>
          <w:rFonts w:hint="eastAsia" w:ascii="仿宋" w:hAnsi="仿宋" w:eastAsia="仿宋" w:cs="仿宋"/>
          <w:bCs/>
          <w:color w:val="FF0000"/>
          <w:sz w:val="24"/>
          <w:lang w:val="en-US" w:eastAsia="zh-CN"/>
        </w:rPr>
        <w:t>若有</w:t>
      </w:r>
      <w:r>
        <w:rPr>
          <w:rFonts w:hint="eastAsia" w:ascii="仿宋_GB2312" w:hAnsi="宋体" w:eastAsia="仿宋_GB2312"/>
          <w:bCs/>
          <w:color w:val="FF0000"/>
          <w:sz w:val="24"/>
        </w:rPr>
        <w:t>演示要求应写明演示某个产品的某项功能或技术参数，且此项功能或技术参数应在货物技术参数</w:t>
      </w:r>
      <w:r>
        <w:rPr>
          <w:rFonts w:hint="eastAsia" w:ascii="仿宋_GB2312" w:hAnsi="宋体" w:eastAsia="仿宋_GB2312"/>
          <w:bCs/>
          <w:color w:val="FF0000"/>
          <w:sz w:val="24"/>
          <w:lang w:val="en-US" w:eastAsia="zh-CN"/>
        </w:rPr>
        <w:t>及要求</w:t>
      </w:r>
      <w:r>
        <w:rPr>
          <w:rFonts w:hint="eastAsia" w:ascii="仿宋_GB2312" w:hAnsi="宋体" w:eastAsia="仿宋_GB2312"/>
          <w:bCs/>
          <w:color w:val="FF0000"/>
          <w:sz w:val="24"/>
        </w:rPr>
        <w:t>中列明</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并做好显著标识</w:t>
      </w:r>
      <w:r>
        <w:rPr>
          <w:rFonts w:hint="eastAsia" w:ascii="仿宋_GB2312" w:hAnsi="宋体" w:eastAsia="仿宋_GB2312"/>
          <w:bCs/>
          <w:color w:val="FF0000"/>
          <w:sz w:val="24"/>
        </w:rPr>
        <w:t>。</w:t>
      </w:r>
    </w:p>
    <w:p w14:paraId="43E3D583">
      <w:pPr>
        <w:spacing w:line="360" w:lineRule="auto"/>
        <w:jc w:val="left"/>
        <w:rPr>
          <w:rFonts w:ascii="仿宋_GB2312" w:hAnsi="宋体" w:eastAsia="仿宋_GB2312"/>
          <w:bCs/>
          <w:color w:val="FF0000"/>
          <w:sz w:val="24"/>
        </w:rPr>
      </w:pPr>
      <w:r>
        <w:rPr>
          <w:rFonts w:hint="eastAsia" w:ascii="仿宋" w:hAnsi="仿宋" w:eastAsia="仿宋" w:cs="仿宋"/>
          <w:bCs/>
          <w:color w:val="FF0000"/>
          <w:sz w:val="24"/>
        </w:rPr>
        <w:t>⑥</w:t>
      </w:r>
      <w:r>
        <w:rPr>
          <w:rFonts w:hint="eastAsia" w:ascii="仿宋_GB2312" w:hAnsi="宋体" w:eastAsia="仿宋_GB2312"/>
          <w:bCs/>
          <w:color w:val="FF0000"/>
          <w:sz w:val="24"/>
        </w:rPr>
        <w:t>样品展示应写明</w:t>
      </w:r>
      <w:r>
        <w:rPr>
          <w:rFonts w:hint="eastAsia" w:ascii="仿宋_GB2312" w:hAnsi="宋体" w:eastAsia="仿宋_GB2312"/>
          <w:bCs/>
          <w:color w:val="FF0000"/>
          <w:sz w:val="24"/>
          <w:lang w:val="en-US" w:eastAsia="zh-CN"/>
        </w:rPr>
        <w:t>序</w:t>
      </w:r>
      <w:r>
        <w:rPr>
          <w:rFonts w:hint="eastAsia" w:ascii="仿宋_GB2312" w:hAnsi="宋体" w:eastAsia="仿宋_GB2312"/>
          <w:bCs/>
          <w:color w:val="FF0000"/>
          <w:sz w:val="24"/>
        </w:rPr>
        <w:t>号X某个产品的具体样品名称，列明具体的样品评审内容（如尺寸、材质等）。</w:t>
      </w:r>
    </w:p>
    <w:p w14:paraId="33E8190D">
      <w:pPr>
        <w:spacing w:line="360" w:lineRule="auto"/>
        <w:jc w:val="left"/>
        <w:rPr>
          <w:rFonts w:ascii="仿宋" w:hAnsi="仿宋" w:eastAsia="仿宋"/>
          <w:bCs/>
          <w:color w:val="FF0000"/>
          <w:sz w:val="24"/>
        </w:rPr>
      </w:pPr>
      <w:r>
        <w:rPr>
          <w:rFonts w:hint="eastAsia" w:ascii="仿宋" w:hAnsi="仿宋" w:eastAsia="仿宋"/>
          <w:b/>
          <w:bCs w:val="0"/>
          <w:color w:val="FF0000"/>
          <w:sz w:val="28"/>
          <w:szCs w:val="28"/>
          <w:highlight w:val="yellow"/>
        </w:rPr>
        <w:t>产品</w:t>
      </w:r>
      <w:r>
        <w:rPr>
          <w:rFonts w:hint="eastAsia" w:ascii="仿宋_GB2312" w:hAnsi="宋体" w:eastAsia="仿宋_GB2312"/>
          <w:b/>
          <w:bCs w:val="0"/>
          <w:color w:val="FF0000"/>
          <w:sz w:val="28"/>
          <w:szCs w:val="28"/>
          <w:highlight w:val="yellow"/>
        </w:rPr>
        <w:t>演示或样品展示评分非必须评分项，请根据实际需求设置</w:t>
      </w:r>
      <w:r>
        <w:rPr>
          <w:rFonts w:hint="eastAsia" w:ascii="仿宋" w:hAnsi="仿宋" w:eastAsia="仿宋"/>
          <w:b/>
          <w:bCs w:val="0"/>
          <w:color w:val="FF0000"/>
          <w:sz w:val="28"/>
          <w:szCs w:val="28"/>
          <w:highlight w:val="yellow"/>
        </w:rPr>
        <w:t>产品</w:t>
      </w:r>
      <w:r>
        <w:rPr>
          <w:rFonts w:hint="eastAsia" w:ascii="仿宋_GB2312" w:hAnsi="宋体" w:eastAsia="仿宋_GB2312"/>
          <w:b/>
          <w:bCs w:val="0"/>
          <w:color w:val="FF0000"/>
          <w:sz w:val="28"/>
          <w:szCs w:val="28"/>
          <w:highlight w:val="yellow"/>
        </w:rPr>
        <w:t>演示或样品展示评分条款。</w:t>
      </w:r>
    </w:p>
    <w:p w14:paraId="44EFBEB1">
      <w:pPr>
        <w:spacing w:line="360" w:lineRule="auto"/>
        <w:jc w:val="left"/>
        <w:rPr>
          <w:rFonts w:ascii="仿宋_GB2312" w:hAnsi="宋体" w:eastAsia="仿宋_GB2312"/>
          <w:bCs/>
          <w:color w:val="FF0000"/>
          <w:sz w:val="24"/>
          <w:highlight w:val="yellow"/>
        </w:rPr>
      </w:pPr>
      <w:r>
        <w:rPr>
          <w:rFonts w:hint="eastAsia" w:ascii="仿宋" w:hAnsi="仿宋" w:eastAsia="仿宋" w:cs="仿宋"/>
          <w:bCs/>
          <w:color w:val="FF0000"/>
          <w:sz w:val="24"/>
        </w:rPr>
        <w:t>⑦</w:t>
      </w:r>
      <w:r>
        <w:rPr>
          <w:rFonts w:hint="eastAsia" w:ascii="仿宋" w:hAnsi="仿宋" w:eastAsia="仿宋"/>
          <w:b w:val="0"/>
          <w:bCs w:val="0"/>
          <w:color w:val="FF0000"/>
          <w:sz w:val="24"/>
          <w:szCs w:val="21"/>
          <w:highlight w:val="none"/>
          <w:lang w:val="en-US" w:eastAsia="zh-CN"/>
        </w:rPr>
        <w:t>各采购包可根据实际需求设置不同评分办法。</w:t>
      </w:r>
    </w:p>
    <w:p w14:paraId="743DABD0">
      <w:pPr>
        <w:spacing w:line="360" w:lineRule="auto"/>
        <w:ind w:firstLine="643" w:firstLineChars="200"/>
        <w:jc w:val="left"/>
        <w:rPr>
          <w:rFonts w:ascii="仿宋_GB2312" w:hAnsi="宋体" w:eastAsia="仿宋_GB2312"/>
          <w:b/>
          <w:bCs/>
          <w:color w:val="FF0000"/>
          <w:sz w:val="32"/>
        </w:rPr>
      </w:pPr>
      <w:r>
        <w:rPr>
          <w:rFonts w:hint="eastAsia" w:ascii="仿宋_GB2312" w:hAnsi="宋体" w:eastAsia="仿宋_GB2312"/>
          <w:b/>
          <w:bCs/>
          <w:color w:val="FF0000"/>
          <w:sz w:val="32"/>
        </w:rPr>
        <w:t>综合评分参考样式：（注：以下评分分值、内容仅供参考，请据实采纳、调整、删除，切勿照搬）</w:t>
      </w:r>
    </w:p>
    <w:p w14:paraId="5B8AECDF">
      <w:pPr>
        <w:spacing w:line="360" w:lineRule="auto"/>
        <w:jc w:val="left"/>
        <w:rPr>
          <w:rFonts w:ascii="仿宋_GB2312" w:hAnsi="宋体" w:eastAsia="仿宋_GB2312"/>
          <w:bCs/>
          <w:sz w:val="24"/>
        </w:rPr>
      </w:pPr>
      <w:r>
        <w:rPr>
          <w:rFonts w:hint="eastAsia" w:ascii="仿宋_GB2312" w:hAnsi="宋体" w:eastAsia="仿宋_GB2312"/>
          <w:bCs/>
          <w:sz w:val="24"/>
        </w:rPr>
        <w:t>一、技术部分（   分）</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1"/>
        <w:gridCol w:w="1666"/>
        <w:gridCol w:w="6604"/>
      </w:tblGrid>
      <w:tr w14:paraId="49C22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371B86A3">
            <w:pPr>
              <w:spacing w:line="360" w:lineRule="auto"/>
              <w:jc w:val="left"/>
              <w:rPr>
                <w:rFonts w:ascii="仿宋_GB2312" w:hAnsi="宋体" w:eastAsia="仿宋_GB2312"/>
                <w:bCs/>
                <w:sz w:val="24"/>
              </w:rPr>
            </w:pPr>
            <w:r>
              <w:rPr>
                <w:rFonts w:hint="eastAsia" w:ascii="仿宋_GB2312" w:hAnsi="宋体" w:eastAsia="仿宋_GB2312"/>
                <w:bCs/>
                <w:sz w:val="24"/>
              </w:rPr>
              <w:t>评标项目</w:t>
            </w:r>
          </w:p>
        </w:tc>
        <w:tc>
          <w:tcPr>
            <w:tcW w:w="855" w:type="pct"/>
          </w:tcPr>
          <w:p w14:paraId="622C8891">
            <w:pPr>
              <w:spacing w:line="360" w:lineRule="auto"/>
              <w:jc w:val="left"/>
              <w:rPr>
                <w:rFonts w:ascii="仿宋_GB2312" w:hAnsi="宋体" w:eastAsia="仿宋_GB2312"/>
                <w:bCs/>
                <w:sz w:val="24"/>
              </w:rPr>
            </w:pPr>
            <w:r>
              <w:rPr>
                <w:rFonts w:hint="eastAsia" w:ascii="仿宋_GB2312" w:hAnsi="宋体" w:eastAsia="仿宋_GB2312"/>
                <w:bCs/>
                <w:sz w:val="24"/>
              </w:rPr>
              <w:t>评标分值</w:t>
            </w:r>
          </w:p>
        </w:tc>
        <w:tc>
          <w:tcPr>
            <w:tcW w:w="3390" w:type="pct"/>
          </w:tcPr>
          <w:p w14:paraId="0A0A90CB">
            <w:pPr>
              <w:spacing w:line="360" w:lineRule="auto"/>
              <w:jc w:val="left"/>
              <w:rPr>
                <w:rFonts w:ascii="仿宋_GB2312" w:hAnsi="宋体" w:eastAsia="仿宋_GB2312"/>
                <w:bCs/>
                <w:sz w:val="24"/>
              </w:rPr>
            </w:pPr>
            <w:r>
              <w:rPr>
                <w:rFonts w:hint="eastAsia" w:ascii="仿宋_GB2312" w:hAnsi="宋体" w:eastAsia="仿宋_GB2312"/>
                <w:bCs/>
                <w:sz w:val="24"/>
              </w:rPr>
              <w:t>评标方法描述</w:t>
            </w:r>
          </w:p>
        </w:tc>
      </w:tr>
      <w:tr w14:paraId="7AF08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06DD2A0D">
            <w:pPr>
              <w:spacing w:line="360" w:lineRule="auto"/>
              <w:jc w:val="left"/>
              <w:rPr>
                <w:rFonts w:ascii="仿宋_GB2312" w:hAnsi="宋体" w:eastAsia="仿宋_GB2312"/>
                <w:bCs/>
                <w:sz w:val="24"/>
              </w:rPr>
            </w:pPr>
            <w:r>
              <w:rPr>
                <w:rFonts w:hint="eastAsia" w:ascii="仿宋_GB2312" w:hAnsi="宋体" w:eastAsia="仿宋_GB2312"/>
                <w:bCs/>
                <w:sz w:val="24"/>
              </w:rPr>
              <w:t>技术要求响应情况</w:t>
            </w:r>
          </w:p>
        </w:tc>
        <w:tc>
          <w:tcPr>
            <w:tcW w:w="855" w:type="pct"/>
          </w:tcPr>
          <w:p w14:paraId="5BCEC80C">
            <w:pPr>
              <w:spacing w:line="360" w:lineRule="auto"/>
              <w:jc w:val="left"/>
              <w:rPr>
                <w:rFonts w:ascii="仿宋_GB2312" w:hAnsi="宋体" w:eastAsia="仿宋_GB2312"/>
                <w:bCs/>
                <w:color w:val="FF0000"/>
                <w:sz w:val="24"/>
              </w:rPr>
            </w:pPr>
          </w:p>
        </w:tc>
        <w:tc>
          <w:tcPr>
            <w:tcW w:w="3390" w:type="pct"/>
          </w:tcPr>
          <w:p w14:paraId="30184C52">
            <w:pPr>
              <w:spacing w:line="360" w:lineRule="auto"/>
              <w:jc w:val="left"/>
              <w:rPr>
                <w:rFonts w:ascii="仿宋_GB2312" w:hAnsi="宋体" w:eastAsia="仿宋_GB2312"/>
                <w:bCs/>
                <w:color w:val="FF0000"/>
                <w:sz w:val="24"/>
              </w:rPr>
            </w:pPr>
            <w:r>
              <w:rPr>
                <w:rFonts w:hint="eastAsia" w:ascii="仿宋_GB2312" w:hAnsi="宋体" w:eastAsia="仿宋_GB2312"/>
                <w:bCs/>
                <w:sz w:val="24"/>
              </w:rPr>
              <w:t>根据各投标人对招标文件第五章的“技术和服务要求”的逐项响应承诺等方面情况进行评分，投标人全部满足招标文件要求的得</w:t>
            </w:r>
            <w:r>
              <w:rPr>
                <w:rFonts w:hint="eastAsia" w:ascii="仿宋_GB2312" w:hAnsi="宋体" w:eastAsia="仿宋_GB2312"/>
                <w:bCs/>
                <w:color w:val="FF0000"/>
                <w:sz w:val="24"/>
                <w:lang w:val="en-US" w:eastAsia="zh-CN"/>
              </w:rPr>
              <w:t>XX</w:t>
            </w:r>
            <w:r>
              <w:rPr>
                <w:rFonts w:hint="eastAsia" w:ascii="仿宋_GB2312" w:hAnsi="宋体" w:eastAsia="仿宋_GB2312"/>
                <w:bCs/>
                <w:sz w:val="24"/>
              </w:rPr>
              <w:t>分。</w:t>
            </w:r>
            <w:r>
              <w:rPr>
                <w:rFonts w:hint="eastAsia" w:ascii="仿宋_GB2312" w:hAnsi="宋体" w:eastAsia="仿宋_GB2312"/>
                <w:bCs/>
                <w:color w:val="FF0000"/>
                <w:sz w:val="24"/>
                <w:highlight w:val="yellow"/>
              </w:rPr>
              <w:t>（</w:t>
            </w:r>
            <w:r>
              <w:rPr>
                <w:rFonts w:hint="eastAsia" w:ascii="仿宋_GB2312" w:hAnsi="宋体" w:eastAsia="仿宋_GB2312"/>
                <w:bCs/>
                <w:color w:val="FF0000"/>
                <w:sz w:val="24"/>
                <w:highlight w:val="yellow"/>
                <w:u w:val="double"/>
              </w:rPr>
              <w:t>此项分值应按前文技术参数逐条量化后计算总分值</w:t>
            </w:r>
            <w:r>
              <w:rPr>
                <w:rFonts w:hint="eastAsia" w:ascii="仿宋_GB2312" w:hAnsi="宋体" w:eastAsia="仿宋_GB2312"/>
                <w:bCs/>
                <w:color w:val="FF0000"/>
                <w:sz w:val="24"/>
                <w:highlight w:val="yellow"/>
              </w:rPr>
              <w:t>，如前文技术参数共计</w:t>
            </w:r>
            <w:r>
              <w:rPr>
                <w:rFonts w:ascii="仿宋_GB2312" w:hAnsi="宋体" w:eastAsia="仿宋_GB2312"/>
                <w:bCs/>
                <w:color w:val="FF0000"/>
                <w:sz w:val="24"/>
                <w:highlight w:val="yellow"/>
              </w:rPr>
              <w:t>30</w:t>
            </w:r>
            <w:r>
              <w:rPr>
                <w:rFonts w:hint="eastAsia" w:ascii="仿宋_GB2312" w:hAnsi="宋体" w:eastAsia="仿宋_GB2312"/>
                <w:bCs/>
                <w:color w:val="FF0000"/>
                <w:sz w:val="24"/>
                <w:highlight w:val="yellow"/>
              </w:rPr>
              <w:t>条，每项1.</w:t>
            </w:r>
            <w:r>
              <w:rPr>
                <w:rFonts w:ascii="仿宋_GB2312" w:hAnsi="宋体" w:eastAsia="仿宋_GB2312"/>
                <w:bCs/>
                <w:color w:val="FF0000"/>
                <w:sz w:val="24"/>
                <w:highlight w:val="yellow"/>
              </w:rPr>
              <w:t>5</w:t>
            </w:r>
            <w:r>
              <w:rPr>
                <w:rFonts w:hint="eastAsia" w:ascii="仿宋_GB2312" w:hAnsi="宋体" w:eastAsia="仿宋_GB2312"/>
                <w:bCs/>
                <w:color w:val="FF0000"/>
                <w:sz w:val="24"/>
                <w:highlight w:val="yellow"/>
              </w:rPr>
              <w:t>分，总分即4</w:t>
            </w:r>
            <w:r>
              <w:rPr>
                <w:rFonts w:ascii="仿宋_GB2312" w:hAnsi="宋体" w:eastAsia="仿宋_GB2312"/>
                <w:bCs/>
                <w:color w:val="FF0000"/>
                <w:sz w:val="24"/>
                <w:highlight w:val="yellow"/>
              </w:rPr>
              <w:t>5</w:t>
            </w:r>
            <w:r>
              <w:rPr>
                <w:rFonts w:hint="eastAsia" w:ascii="仿宋_GB2312" w:hAnsi="宋体" w:eastAsia="仿宋_GB2312"/>
                <w:bCs/>
                <w:color w:val="FF0000"/>
                <w:sz w:val="24"/>
                <w:highlight w:val="yellow"/>
              </w:rPr>
              <w:t>分）</w:t>
            </w:r>
          </w:p>
          <w:p w14:paraId="7D63DE07">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例1：标注“▲”号的技术参数（共X</w:t>
            </w:r>
            <w:r>
              <w:rPr>
                <w:rFonts w:ascii="仿宋_GB2312" w:hAnsi="宋体" w:eastAsia="仿宋_GB2312"/>
                <w:bCs/>
                <w:color w:val="FF0000"/>
                <w:sz w:val="24"/>
              </w:rPr>
              <w:t>X</w:t>
            </w:r>
            <w:r>
              <w:rPr>
                <w:rFonts w:hint="eastAsia" w:ascii="仿宋_GB2312" w:hAnsi="宋体" w:eastAsia="仿宋_GB2312"/>
                <w:bCs/>
                <w:color w:val="FF0000"/>
                <w:sz w:val="24"/>
              </w:rPr>
              <w:t>项），每负偏离一项扣</w:t>
            </w:r>
            <w:r>
              <w:rPr>
                <w:rFonts w:ascii="仿宋_GB2312" w:hAnsi="宋体" w:eastAsia="仿宋_GB2312"/>
                <w:bCs/>
                <w:color w:val="FF0000"/>
                <w:sz w:val="24"/>
              </w:rPr>
              <w:t>XX</w:t>
            </w:r>
            <w:r>
              <w:rPr>
                <w:rFonts w:hint="eastAsia" w:ascii="仿宋_GB2312" w:hAnsi="宋体" w:eastAsia="仿宋_GB2312"/>
                <w:bCs/>
                <w:color w:val="FF0000"/>
                <w:sz w:val="24"/>
              </w:rPr>
              <w:t>分；未带“▲”号的技术参数，以每个产品为一个评分项（共X</w:t>
            </w:r>
            <w:r>
              <w:rPr>
                <w:rFonts w:ascii="仿宋_GB2312" w:hAnsi="宋体" w:eastAsia="仿宋_GB2312"/>
                <w:bCs/>
                <w:color w:val="FF0000"/>
                <w:sz w:val="24"/>
              </w:rPr>
              <w:t>X</w:t>
            </w:r>
            <w:r>
              <w:rPr>
                <w:rFonts w:hint="eastAsia" w:ascii="仿宋_GB2312" w:hAnsi="宋体" w:eastAsia="仿宋_GB2312"/>
                <w:bCs/>
                <w:color w:val="FF0000"/>
                <w:sz w:val="24"/>
              </w:rPr>
              <w:t>项），一个产品出现负偏离即扣</w:t>
            </w:r>
            <w:r>
              <w:rPr>
                <w:rFonts w:ascii="仿宋_GB2312" w:hAnsi="宋体" w:eastAsia="仿宋_GB2312"/>
                <w:bCs/>
                <w:color w:val="FF0000"/>
                <w:sz w:val="24"/>
              </w:rPr>
              <w:t>XX</w:t>
            </w:r>
            <w:r>
              <w:rPr>
                <w:rFonts w:hint="eastAsia" w:ascii="仿宋_GB2312" w:hAnsi="宋体" w:eastAsia="仿宋_GB2312"/>
                <w:bCs/>
                <w:color w:val="FF0000"/>
                <w:sz w:val="24"/>
              </w:rPr>
              <w:t>分。 或者以几条参数作为一个项号（共X</w:t>
            </w:r>
            <w:r>
              <w:rPr>
                <w:rFonts w:ascii="仿宋_GB2312" w:hAnsi="宋体" w:eastAsia="仿宋_GB2312"/>
                <w:bCs/>
                <w:color w:val="FF0000"/>
                <w:sz w:val="24"/>
              </w:rPr>
              <w:t>X</w:t>
            </w:r>
            <w:r>
              <w:rPr>
                <w:rFonts w:hint="eastAsia" w:ascii="仿宋_GB2312" w:hAnsi="宋体" w:eastAsia="仿宋_GB2312"/>
                <w:bCs/>
                <w:color w:val="FF0000"/>
                <w:sz w:val="24"/>
              </w:rPr>
              <w:t>项），每个项号出现负偏离即扣</w:t>
            </w:r>
            <w:r>
              <w:rPr>
                <w:rFonts w:ascii="仿宋_GB2312" w:hAnsi="宋体" w:eastAsia="仿宋_GB2312"/>
                <w:bCs/>
                <w:color w:val="FF0000"/>
                <w:sz w:val="24"/>
              </w:rPr>
              <w:t>XX</w:t>
            </w:r>
            <w:r>
              <w:rPr>
                <w:rFonts w:hint="eastAsia" w:ascii="仿宋_GB2312" w:hAnsi="宋体" w:eastAsia="仿宋_GB2312"/>
                <w:bCs/>
                <w:color w:val="FF0000"/>
                <w:sz w:val="24"/>
              </w:rPr>
              <w:t>分。或者所有技术参数（共计X</w:t>
            </w:r>
            <w:r>
              <w:rPr>
                <w:rFonts w:ascii="仿宋_GB2312" w:hAnsi="宋体" w:eastAsia="仿宋_GB2312"/>
                <w:bCs/>
                <w:color w:val="FF0000"/>
                <w:sz w:val="24"/>
              </w:rPr>
              <w:t>X</w:t>
            </w:r>
            <w:r>
              <w:rPr>
                <w:rFonts w:hint="eastAsia" w:ascii="仿宋_GB2312" w:hAnsi="宋体" w:eastAsia="仿宋_GB2312"/>
                <w:bCs/>
                <w:color w:val="FF0000"/>
                <w:sz w:val="24"/>
              </w:rPr>
              <w:t>条）每负偏离一条扣</w:t>
            </w:r>
            <w:r>
              <w:rPr>
                <w:rFonts w:ascii="仿宋_GB2312" w:hAnsi="宋体" w:eastAsia="仿宋_GB2312"/>
                <w:bCs/>
                <w:color w:val="FF0000"/>
                <w:sz w:val="24"/>
              </w:rPr>
              <w:t>XX</w:t>
            </w:r>
            <w:r>
              <w:rPr>
                <w:rFonts w:hint="eastAsia" w:ascii="仿宋_GB2312" w:hAnsi="宋体" w:eastAsia="仿宋_GB2312"/>
                <w:bCs/>
                <w:color w:val="FF0000"/>
                <w:sz w:val="24"/>
              </w:rPr>
              <w:t>分。或者序号X</w:t>
            </w:r>
            <w:r>
              <w:rPr>
                <w:rFonts w:ascii="仿宋_GB2312" w:hAnsi="宋体" w:eastAsia="仿宋_GB2312"/>
                <w:bCs/>
                <w:color w:val="FF0000"/>
                <w:sz w:val="24"/>
              </w:rPr>
              <w:t>X</w:t>
            </w:r>
            <w:r>
              <w:rPr>
                <w:rFonts w:hint="eastAsia" w:ascii="仿宋_GB2312" w:hAnsi="宋体" w:eastAsia="仿宋_GB2312"/>
                <w:bCs/>
                <w:color w:val="FF0000"/>
                <w:sz w:val="24"/>
              </w:rPr>
              <w:t>、序号X</w:t>
            </w:r>
            <w:r>
              <w:rPr>
                <w:rFonts w:ascii="仿宋_GB2312" w:hAnsi="宋体" w:eastAsia="仿宋_GB2312"/>
                <w:bCs/>
                <w:color w:val="FF0000"/>
                <w:sz w:val="24"/>
              </w:rPr>
              <w:t>X</w:t>
            </w:r>
            <w:r>
              <w:rPr>
                <w:rFonts w:hint="eastAsia" w:ascii="仿宋_GB2312" w:hAnsi="宋体" w:eastAsia="仿宋_GB2312"/>
                <w:bCs/>
                <w:color w:val="FF0000"/>
                <w:sz w:val="24"/>
              </w:rPr>
              <w:t>等产品以每个产品为一个评分项，一个产品出现负偏离即扣</w:t>
            </w:r>
            <w:r>
              <w:rPr>
                <w:rFonts w:ascii="仿宋_GB2312" w:hAnsi="宋体" w:eastAsia="仿宋_GB2312"/>
                <w:bCs/>
                <w:color w:val="FF0000"/>
                <w:sz w:val="24"/>
              </w:rPr>
              <w:t>XX</w:t>
            </w:r>
            <w:r>
              <w:rPr>
                <w:rFonts w:hint="eastAsia" w:ascii="仿宋_GB2312" w:hAnsi="宋体" w:eastAsia="仿宋_GB2312"/>
                <w:bCs/>
                <w:color w:val="FF0000"/>
                <w:sz w:val="24"/>
              </w:rPr>
              <w:t>分（分值相对高），其余序号产品以每个产品为一个评分项，一个产品出现负偏离即扣</w:t>
            </w:r>
            <w:r>
              <w:rPr>
                <w:rFonts w:ascii="仿宋_GB2312" w:hAnsi="宋体" w:eastAsia="仿宋_GB2312"/>
                <w:bCs/>
                <w:color w:val="FF0000"/>
                <w:sz w:val="24"/>
              </w:rPr>
              <w:t>XX</w:t>
            </w:r>
            <w:r>
              <w:rPr>
                <w:rFonts w:hint="eastAsia" w:ascii="仿宋_GB2312" w:hAnsi="宋体" w:eastAsia="仿宋_GB2312"/>
                <w:bCs/>
                <w:color w:val="FF0000"/>
                <w:sz w:val="24"/>
              </w:rPr>
              <w:t>分（分值相对低）。</w:t>
            </w:r>
          </w:p>
          <w:p w14:paraId="7ECA1002">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例2：技术参数（共计X</w:t>
            </w:r>
            <w:r>
              <w:rPr>
                <w:rFonts w:ascii="仿宋_GB2312" w:hAnsi="宋体" w:eastAsia="仿宋_GB2312"/>
                <w:bCs/>
                <w:color w:val="FF0000"/>
                <w:sz w:val="24"/>
              </w:rPr>
              <w:t>X</w:t>
            </w:r>
            <w:r>
              <w:rPr>
                <w:rFonts w:hint="eastAsia" w:ascii="仿宋_GB2312" w:hAnsi="宋体" w:eastAsia="仿宋_GB2312"/>
                <w:bCs/>
                <w:color w:val="FF0000"/>
                <w:sz w:val="24"/>
              </w:rPr>
              <w:t>条）每负偏离一条扣</w:t>
            </w:r>
            <w:r>
              <w:rPr>
                <w:rFonts w:ascii="仿宋_GB2312" w:hAnsi="宋体" w:eastAsia="仿宋_GB2312"/>
                <w:bCs/>
                <w:color w:val="FF0000"/>
                <w:sz w:val="24"/>
              </w:rPr>
              <w:t>XX</w:t>
            </w:r>
            <w:r>
              <w:rPr>
                <w:rFonts w:hint="eastAsia" w:ascii="仿宋_GB2312" w:hAnsi="宋体" w:eastAsia="仿宋_GB2312"/>
                <w:bCs/>
                <w:color w:val="FF0000"/>
                <w:sz w:val="24"/>
              </w:rPr>
              <w:t>分。</w:t>
            </w:r>
          </w:p>
          <w:p w14:paraId="12947D3E">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例3：标注“★”号的技术参数为重要指标，不允许负偏离，否则视为无效投标。未标注“★”号的技术参数每负偏离一项扣</w:t>
            </w:r>
            <w:r>
              <w:rPr>
                <w:rFonts w:ascii="仿宋_GB2312" w:hAnsi="宋体" w:eastAsia="仿宋_GB2312"/>
                <w:bCs/>
                <w:color w:val="FF0000"/>
                <w:sz w:val="24"/>
              </w:rPr>
              <w:t>XX</w:t>
            </w:r>
            <w:r>
              <w:rPr>
                <w:rFonts w:hint="eastAsia" w:ascii="仿宋_GB2312" w:hAnsi="宋体" w:eastAsia="仿宋_GB2312"/>
                <w:bCs/>
                <w:color w:val="FF0000"/>
                <w:sz w:val="24"/>
              </w:rPr>
              <w:t>分。</w:t>
            </w:r>
          </w:p>
          <w:p w14:paraId="75CCC9F2">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例4：标注“★”号的技术参数为重要指标（X</w:t>
            </w:r>
            <w:r>
              <w:rPr>
                <w:rFonts w:ascii="仿宋_GB2312" w:hAnsi="宋体" w:eastAsia="仿宋_GB2312"/>
                <w:bCs/>
                <w:color w:val="FF0000"/>
                <w:sz w:val="24"/>
              </w:rPr>
              <w:t>X</w:t>
            </w:r>
            <w:r>
              <w:rPr>
                <w:rFonts w:hint="eastAsia" w:ascii="仿宋_GB2312" w:hAnsi="宋体" w:eastAsia="仿宋_GB2312"/>
                <w:bCs/>
                <w:color w:val="FF0000"/>
                <w:sz w:val="24"/>
              </w:rPr>
              <w:t>项），不允许负偏离，否则视为无效投标。标注“▲”号的技术参数（X</w:t>
            </w:r>
            <w:r>
              <w:rPr>
                <w:rFonts w:ascii="仿宋_GB2312" w:hAnsi="宋体" w:eastAsia="仿宋_GB2312"/>
                <w:bCs/>
                <w:color w:val="FF0000"/>
                <w:sz w:val="24"/>
              </w:rPr>
              <w:t>X</w:t>
            </w:r>
            <w:r>
              <w:rPr>
                <w:rFonts w:hint="eastAsia" w:ascii="仿宋_GB2312" w:hAnsi="宋体" w:eastAsia="仿宋_GB2312"/>
                <w:bCs/>
                <w:color w:val="FF0000"/>
                <w:sz w:val="24"/>
              </w:rPr>
              <w:t>项），每负偏离一项扣</w:t>
            </w:r>
            <w:r>
              <w:rPr>
                <w:rFonts w:ascii="仿宋_GB2312" w:hAnsi="宋体" w:eastAsia="仿宋_GB2312"/>
                <w:bCs/>
                <w:color w:val="FF0000"/>
                <w:sz w:val="24"/>
              </w:rPr>
              <w:t>XX</w:t>
            </w:r>
            <w:r>
              <w:rPr>
                <w:rFonts w:hint="eastAsia" w:ascii="仿宋_GB2312" w:hAnsi="宋体" w:eastAsia="仿宋_GB2312"/>
                <w:bCs/>
                <w:color w:val="FF0000"/>
                <w:sz w:val="24"/>
              </w:rPr>
              <w:t>分；未带“▲”、“★”号的技术参数（X</w:t>
            </w:r>
            <w:r>
              <w:rPr>
                <w:rFonts w:ascii="仿宋_GB2312" w:hAnsi="宋体" w:eastAsia="仿宋_GB2312"/>
                <w:bCs/>
                <w:color w:val="FF0000"/>
                <w:sz w:val="24"/>
              </w:rPr>
              <w:t>X</w:t>
            </w:r>
            <w:r>
              <w:rPr>
                <w:rFonts w:hint="eastAsia" w:ascii="仿宋_GB2312" w:hAnsi="宋体" w:eastAsia="仿宋_GB2312"/>
                <w:bCs/>
                <w:color w:val="FF0000"/>
                <w:sz w:val="24"/>
              </w:rPr>
              <w:t>项）每负偏离一项扣</w:t>
            </w:r>
            <w:r>
              <w:rPr>
                <w:rFonts w:ascii="仿宋_GB2312" w:hAnsi="宋体" w:eastAsia="仿宋_GB2312"/>
                <w:bCs/>
                <w:color w:val="FF0000"/>
                <w:sz w:val="24"/>
              </w:rPr>
              <w:t>XX</w:t>
            </w:r>
            <w:r>
              <w:rPr>
                <w:rFonts w:hint="eastAsia" w:ascii="仿宋_GB2312" w:hAnsi="宋体" w:eastAsia="仿宋_GB2312"/>
                <w:bCs/>
                <w:color w:val="FF0000"/>
                <w:sz w:val="24"/>
              </w:rPr>
              <w:t>分。</w:t>
            </w:r>
          </w:p>
          <w:p w14:paraId="636B2E0E">
            <w:pPr>
              <w:spacing w:line="360" w:lineRule="auto"/>
              <w:jc w:val="left"/>
              <w:rPr>
                <w:rFonts w:ascii="仿宋_GB2312" w:hAnsi="宋体" w:eastAsia="仿宋_GB2312"/>
                <w:bCs/>
                <w:sz w:val="24"/>
              </w:rPr>
            </w:pPr>
          </w:p>
        </w:tc>
      </w:tr>
      <w:tr w14:paraId="10CD4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13752DA9">
            <w:pPr>
              <w:spacing w:line="360" w:lineRule="auto"/>
              <w:jc w:val="left"/>
              <w:rPr>
                <w:rFonts w:hint="eastAsia" w:ascii="仿宋_GB2312" w:hAnsi="宋体" w:eastAsia="仿宋_GB2312"/>
                <w:bCs/>
                <w:color w:val="FF0000"/>
                <w:sz w:val="24"/>
                <w:lang w:eastAsia="zh-CN"/>
              </w:rPr>
            </w:pPr>
            <w:r>
              <w:rPr>
                <w:rFonts w:hint="eastAsia" w:ascii="仿宋_GB2312" w:hAnsi="宋体" w:eastAsia="仿宋_GB2312"/>
                <w:bCs/>
                <w:color w:val="FF0000"/>
                <w:sz w:val="24"/>
              </w:rPr>
              <w:t>主要产品的佐证资料</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若有</w:t>
            </w:r>
            <w:r>
              <w:rPr>
                <w:rFonts w:hint="eastAsia" w:ascii="仿宋_GB2312" w:hAnsi="宋体" w:eastAsia="仿宋_GB2312"/>
                <w:bCs/>
                <w:color w:val="FF0000"/>
                <w:sz w:val="24"/>
                <w:lang w:eastAsia="zh-CN"/>
              </w:rPr>
              <w:t>）</w:t>
            </w:r>
          </w:p>
        </w:tc>
        <w:tc>
          <w:tcPr>
            <w:tcW w:w="855" w:type="pct"/>
          </w:tcPr>
          <w:p w14:paraId="6CEED3A5">
            <w:pPr>
              <w:spacing w:line="360" w:lineRule="auto"/>
              <w:jc w:val="left"/>
              <w:rPr>
                <w:rFonts w:ascii="仿宋_GB2312" w:hAnsi="宋体" w:eastAsia="仿宋_GB2312"/>
                <w:bCs/>
                <w:color w:val="FF0000"/>
                <w:sz w:val="24"/>
              </w:rPr>
            </w:pPr>
          </w:p>
        </w:tc>
        <w:tc>
          <w:tcPr>
            <w:tcW w:w="3390" w:type="pct"/>
          </w:tcPr>
          <w:p w14:paraId="7811650E">
            <w:pPr>
              <w:spacing w:line="360" w:lineRule="auto"/>
              <w:jc w:val="left"/>
              <w:rPr>
                <w:rFonts w:ascii="仿宋_GB2312" w:hAnsi="宋体" w:eastAsia="仿宋_GB2312"/>
                <w:bCs/>
                <w:sz w:val="24"/>
              </w:rPr>
            </w:pPr>
            <w:r>
              <w:rPr>
                <w:rFonts w:hint="eastAsia" w:ascii="仿宋_GB2312" w:hAnsi="宋体" w:eastAsia="仿宋_GB2312"/>
                <w:bCs/>
                <w:sz w:val="24"/>
              </w:rPr>
              <w:t>投标人所提供的彩页资料齐全，且全部佐证所投品目号1-1 XX产品的</w:t>
            </w:r>
            <w:r>
              <w:rPr>
                <w:rFonts w:hint="eastAsia" w:ascii="仿宋_GB2312" w:hAnsi="宋体" w:eastAsia="仿宋_GB2312"/>
                <w:bCs/>
                <w:color w:val="FF0000"/>
                <w:sz w:val="24"/>
              </w:rPr>
              <w:t>（列明具体某几项技术参数及功能）</w:t>
            </w:r>
            <w:r>
              <w:rPr>
                <w:rFonts w:hint="eastAsia" w:ascii="仿宋_GB2312" w:hAnsi="宋体" w:eastAsia="仿宋_GB2312"/>
                <w:bCs/>
                <w:sz w:val="24"/>
              </w:rPr>
              <w:t>的得3分；彩页仅能部分佐证所投产品的</w:t>
            </w:r>
            <w:r>
              <w:rPr>
                <w:rFonts w:hint="eastAsia" w:ascii="仿宋_GB2312" w:hAnsi="宋体" w:eastAsia="仿宋_GB2312"/>
                <w:bCs/>
                <w:color w:val="FF0000"/>
                <w:sz w:val="24"/>
              </w:rPr>
              <w:t>（列明具体某几项技术参数及功能）</w:t>
            </w:r>
            <w:r>
              <w:rPr>
                <w:rFonts w:hint="eastAsia" w:ascii="仿宋_GB2312" w:hAnsi="宋体" w:eastAsia="仿宋_GB2312"/>
                <w:bCs/>
                <w:sz w:val="24"/>
              </w:rPr>
              <w:t>的得2分，仅能佐证某1项技术参数及功能的得1分。彩页未能证明技术参数或未提供任何材料的本项不得分。</w:t>
            </w:r>
          </w:p>
        </w:tc>
      </w:tr>
      <w:tr w14:paraId="15125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4DC90A4A">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演示要求</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若有</w:t>
            </w:r>
            <w:r>
              <w:rPr>
                <w:rFonts w:hint="eastAsia" w:ascii="仿宋_GB2312" w:hAnsi="宋体" w:eastAsia="仿宋_GB2312"/>
                <w:bCs/>
                <w:color w:val="FF0000"/>
                <w:sz w:val="24"/>
                <w:lang w:eastAsia="zh-CN"/>
              </w:rPr>
              <w:t>）</w:t>
            </w:r>
          </w:p>
        </w:tc>
        <w:tc>
          <w:tcPr>
            <w:tcW w:w="855" w:type="pct"/>
          </w:tcPr>
          <w:p w14:paraId="3ABE99CD">
            <w:pPr>
              <w:spacing w:line="360" w:lineRule="auto"/>
              <w:jc w:val="left"/>
              <w:rPr>
                <w:rFonts w:ascii="仿宋_GB2312" w:hAnsi="宋体" w:eastAsia="仿宋_GB2312"/>
                <w:bCs/>
                <w:color w:val="FF0000"/>
                <w:sz w:val="24"/>
              </w:rPr>
            </w:pPr>
          </w:p>
        </w:tc>
        <w:tc>
          <w:tcPr>
            <w:tcW w:w="3390" w:type="pct"/>
          </w:tcPr>
          <w:p w14:paraId="25023F3B">
            <w:pPr>
              <w:spacing w:line="360" w:lineRule="auto"/>
              <w:jc w:val="left"/>
              <w:rPr>
                <w:rFonts w:hint="eastAsia" w:ascii="仿宋_GB2312" w:hAnsi="宋体" w:eastAsia="仿宋_GB2312"/>
                <w:bCs/>
                <w:color w:val="FF0000"/>
                <w:sz w:val="24"/>
              </w:rPr>
            </w:pPr>
            <w:r>
              <w:rPr>
                <w:rFonts w:hint="eastAsia" w:ascii="仿宋_GB2312" w:hAnsi="宋体" w:eastAsia="仿宋_GB2312"/>
                <w:bCs/>
                <w:color w:val="FF0000"/>
                <w:sz w:val="24"/>
              </w:rPr>
              <w:t>演示内容：应列明演示“品目号1-X产品名称”的具体某一条参数条款（此参数条款应在“2.货物技术规格及要求”中已作出要求），量化演示内容评分依据（如从演示完成度量化分值、从视频呈现效果量化分值等）。</w:t>
            </w:r>
          </w:p>
          <w:p w14:paraId="4E01404E">
            <w:pPr>
              <w:spacing w:line="360" w:lineRule="auto"/>
              <w:jc w:val="left"/>
              <w:rPr>
                <w:rFonts w:hint="eastAsia" w:ascii="仿宋_GB2312" w:hAnsi="宋体" w:eastAsia="仿宋_GB2312"/>
                <w:bCs/>
                <w:color w:val="FF0000"/>
                <w:sz w:val="24"/>
              </w:rPr>
            </w:pPr>
            <w:r>
              <w:rPr>
                <w:rFonts w:hint="eastAsia" w:ascii="仿宋_GB2312" w:hAnsi="宋体" w:eastAsia="仿宋_GB2312"/>
                <w:bCs/>
                <w:color w:val="auto"/>
                <w:sz w:val="24"/>
              </w:rPr>
              <w:t>演示方式：采用自带设备现场演示或录制视频演示</w:t>
            </w:r>
            <w:r>
              <w:rPr>
                <w:rFonts w:hint="eastAsia" w:ascii="仿宋_GB2312" w:hAnsi="宋体" w:eastAsia="仿宋_GB2312"/>
                <w:bCs/>
                <w:color w:val="auto"/>
                <w:sz w:val="24"/>
                <w:lang w:val="en-US" w:eastAsia="zh-CN"/>
              </w:rPr>
              <w:t>或PPT形式等</w:t>
            </w:r>
            <w:r>
              <w:rPr>
                <w:rFonts w:hint="eastAsia" w:ascii="仿宋_GB2312" w:hAnsi="宋体" w:eastAsia="仿宋_GB2312"/>
                <w:bCs/>
                <w:color w:val="auto"/>
                <w:sz w:val="24"/>
              </w:rPr>
              <w:t>。演示时间：为保证项目评审合理有序开展，每位投标人应做好充分的演示准备工作，并控制在</w:t>
            </w:r>
            <w:r>
              <w:rPr>
                <w:rFonts w:hint="eastAsia" w:ascii="仿宋_GB2312" w:hAnsi="宋体" w:eastAsia="仿宋_GB2312"/>
                <w:bCs/>
                <w:color w:val="auto"/>
                <w:sz w:val="24"/>
                <w:lang w:val="en-US" w:eastAsia="zh-CN"/>
              </w:rPr>
              <w:t>XX</w:t>
            </w:r>
            <w:r>
              <w:rPr>
                <w:rFonts w:hint="eastAsia" w:ascii="仿宋_GB2312" w:hAnsi="宋体" w:eastAsia="仿宋_GB2312"/>
                <w:bCs/>
                <w:color w:val="auto"/>
                <w:sz w:val="24"/>
              </w:rPr>
              <w:t>分钟内完成演示内容，可左右浮动</w:t>
            </w:r>
            <w:r>
              <w:rPr>
                <w:rFonts w:hint="eastAsia" w:ascii="仿宋_GB2312" w:hAnsi="宋体" w:eastAsia="仿宋_GB2312"/>
                <w:bCs/>
                <w:color w:val="auto"/>
                <w:sz w:val="24"/>
                <w:lang w:val="en-US" w:eastAsia="zh-CN"/>
              </w:rPr>
              <w:t>XX</w:t>
            </w:r>
            <w:r>
              <w:rPr>
                <w:rFonts w:hint="eastAsia" w:ascii="仿宋_GB2312" w:hAnsi="宋体" w:eastAsia="仿宋_GB2312"/>
                <w:bCs/>
                <w:color w:val="auto"/>
                <w:sz w:val="24"/>
              </w:rPr>
              <w:t>分钟，投标人不得以设备问题、自身技术能力问题等为理由拖延演示时间</w:t>
            </w:r>
            <w:r>
              <w:rPr>
                <w:rFonts w:hint="eastAsia" w:ascii="仿宋_GB2312" w:hAnsi="宋体" w:eastAsia="仿宋_GB2312"/>
                <w:bCs/>
                <w:color w:val="auto"/>
                <w:sz w:val="24"/>
                <w:lang w:eastAsia="zh-CN"/>
              </w:rPr>
              <w:t>，</w:t>
            </w:r>
            <w:r>
              <w:rPr>
                <w:rFonts w:hint="eastAsia" w:ascii="仿宋_GB2312" w:hAnsi="宋体" w:eastAsia="仿宋_GB2312"/>
                <w:bCs/>
                <w:color w:val="auto"/>
                <w:sz w:val="24"/>
                <w:lang w:val="en-US" w:eastAsia="zh-CN"/>
              </w:rPr>
              <w:t>投标人未在规定演示时间内完成演示内容，评委会将作出不利于投标人的判断</w:t>
            </w:r>
            <w:r>
              <w:rPr>
                <w:rFonts w:hint="eastAsia" w:ascii="仿宋_GB2312" w:hAnsi="宋体" w:eastAsia="仿宋_GB2312"/>
                <w:bCs/>
                <w:color w:val="auto"/>
                <w:sz w:val="24"/>
              </w:rPr>
              <w:t>。</w:t>
            </w:r>
            <w:bookmarkStart w:id="6" w:name="_GoBack"/>
            <w:bookmarkEnd w:id="6"/>
          </w:p>
        </w:tc>
      </w:tr>
      <w:tr w14:paraId="28EC7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7AE4D67D">
            <w:pPr>
              <w:spacing w:line="360" w:lineRule="auto"/>
              <w:jc w:val="left"/>
              <w:rPr>
                <w:rFonts w:ascii="仿宋_GB2312" w:hAnsi="宋体" w:eastAsia="仿宋_GB2312"/>
                <w:bCs/>
                <w:sz w:val="24"/>
              </w:rPr>
            </w:pPr>
          </w:p>
        </w:tc>
        <w:tc>
          <w:tcPr>
            <w:tcW w:w="855" w:type="pct"/>
          </w:tcPr>
          <w:p w14:paraId="4E1EFB14">
            <w:pPr>
              <w:spacing w:line="360" w:lineRule="auto"/>
              <w:jc w:val="left"/>
              <w:rPr>
                <w:rFonts w:ascii="仿宋_GB2312" w:hAnsi="宋体" w:eastAsia="仿宋_GB2312"/>
                <w:bCs/>
                <w:sz w:val="24"/>
              </w:rPr>
            </w:pPr>
          </w:p>
        </w:tc>
        <w:tc>
          <w:tcPr>
            <w:tcW w:w="3390" w:type="pct"/>
          </w:tcPr>
          <w:p w14:paraId="15C79A05">
            <w:pPr>
              <w:spacing w:line="360" w:lineRule="auto"/>
              <w:jc w:val="left"/>
              <w:rPr>
                <w:rFonts w:ascii="仿宋_GB2312" w:hAnsi="宋体" w:eastAsia="仿宋_GB2312"/>
                <w:bCs/>
                <w:sz w:val="24"/>
              </w:rPr>
            </w:pPr>
          </w:p>
        </w:tc>
      </w:tr>
    </w:tbl>
    <w:p w14:paraId="3DD401F8">
      <w:pPr>
        <w:spacing w:line="360" w:lineRule="auto"/>
        <w:jc w:val="left"/>
        <w:rPr>
          <w:rFonts w:ascii="仿宋_GB2312" w:hAnsi="宋体" w:eastAsia="仿宋_GB2312"/>
          <w:bCs/>
          <w:sz w:val="24"/>
        </w:rPr>
      </w:pPr>
    </w:p>
    <w:p w14:paraId="48B2E508">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二、商务部分（  分）</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1"/>
        <w:gridCol w:w="1666"/>
        <w:gridCol w:w="6604"/>
      </w:tblGrid>
      <w:tr w14:paraId="662C5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39F5820E">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评标项目</w:t>
            </w:r>
          </w:p>
        </w:tc>
        <w:tc>
          <w:tcPr>
            <w:tcW w:w="855" w:type="pct"/>
          </w:tcPr>
          <w:p w14:paraId="1286CAC0">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评标分值</w:t>
            </w:r>
          </w:p>
        </w:tc>
        <w:tc>
          <w:tcPr>
            <w:tcW w:w="3390" w:type="pct"/>
          </w:tcPr>
          <w:p w14:paraId="271558C6">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评标方法描述</w:t>
            </w:r>
          </w:p>
        </w:tc>
      </w:tr>
      <w:tr w14:paraId="25BD3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74F5C51D">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业绩</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若有</w:t>
            </w:r>
            <w:r>
              <w:rPr>
                <w:rFonts w:hint="eastAsia" w:ascii="仿宋_GB2312" w:hAnsi="宋体" w:eastAsia="仿宋_GB2312"/>
                <w:bCs/>
                <w:color w:val="FF0000"/>
                <w:sz w:val="24"/>
                <w:lang w:eastAsia="zh-CN"/>
              </w:rPr>
              <w:t>）</w:t>
            </w:r>
          </w:p>
        </w:tc>
        <w:tc>
          <w:tcPr>
            <w:tcW w:w="855" w:type="pct"/>
          </w:tcPr>
          <w:p w14:paraId="2D91D8F3">
            <w:pPr>
              <w:spacing w:line="360" w:lineRule="auto"/>
              <w:jc w:val="left"/>
              <w:rPr>
                <w:rFonts w:ascii="仿宋_GB2312" w:hAnsi="宋体" w:eastAsia="仿宋_GB2312"/>
                <w:bCs/>
                <w:color w:val="FF0000"/>
                <w:sz w:val="24"/>
              </w:rPr>
            </w:pPr>
          </w:p>
        </w:tc>
        <w:tc>
          <w:tcPr>
            <w:tcW w:w="3390" w:type="pct"/>
          </w:tcPr>
          <w:p w14:paraId="1341FF6C">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根据投标人提供的自20XX年以来（以合同</w:t>
            </w:r>
            <w:r>
              <w:rPr>
                <w:rFonts w:hint="eastAsia" w:ascii="仿宋_GB2312" w:hAnsi="宋体" w:eastAsia="仿宋_GB2312"/>
                <w:bCs/>
                <w:color w:val="FF0000"/>
                <w:sz w:val="24"/>
                <w:lang w:val="en-US" w:eastAsia="zh-CN"/>
              </w:rPr>
              <w:t>或</w:t>
            </w:r>
            <w:r>
              <w:rPr>
                <w:rFonts w:hint="eastAsia" w:ascii="仿宋_GB2312" w:hAnsi="宋体" w:eastAsia="仿宋_GB2312"/>
                <w:bCs/>
                <w:color w:val="FF0000"/>
                <w:sz w:val="24"/>
              </w:rPr>
              <w:t>验收签订时间为准</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请选一种</w:t>
            </w:r>
            <w:r>
              <w:rPr>
                <w:rFonts w:hint="eastAsia" w:ascii="仿宋_GB2312" w:hAnsi="宋体" w:eastAsia="仿宋_GB2312"/>
                <w:bCs/>
                <w:color w:val="FF0000"/>
                <w:sz w:val="24"/>
              </w:rPr>
              <w:t xml:space="preserve">）承接过同类项目的业绩情况进行评议，每提供一份业绩得1分，满分3分。投标人须提供该业绩项目以下资料复印件，并加盖投标人公章：①中标（成交）公告（提供相关网站中标或成交公告的下载网页及其网址）；②中标（成交）通知书；③采购合同文本；④能够证明该业绩项目已经采购人验收合格的相关证明文件。 </w:t>
            </w:r>
          </w:p>
        </w:tc>
      </w:tr>
      <w:tr w14:paraId="4A859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14324AEA">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lang w:val="en-US" w:eastAsia="zh-CN"/>
              </w:rPr>
              <w:t>维保服务</w:t>
            </w:r>
            <w:r>
              <w:rPr>
                <w:rFonts w:hint="eastAsia" w:ascii="仿宋_GB2312" w:hAnsi="宋体" w:eastAsia="仿宋_GB2312"/>
                <w:bCs/>
                <w:color w:val="FF0000"/>
                <w:sz w:val="24"/>
              </w:rPr>
              <w:t>期时限承诺情况</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若有</w:t>
            </w:r>
            <w:r>
              <w:rPr>
                <w:rFonts w:hint="eastAsia" w:ascii="仿宋_GB2312" w:hAnsi="宋体" w:eastAsia="仿宋_GB2312"/>
                <w:bCs/>
                <w:color w:val="FF0000"/>
                <w:sz w:val="24"/>
                <w:lang w:eastAsia="zh-CN"/>
              </w:rPr>
              <w:t>）</w:t>
            </w:r>
          </w:p>
        </w:tc>
        <w:tc>
          <w:tcPr>
            <w:tcW w:w="855" w:type="pct"/>
          </w:tcPr>
          <w:p w14:paraId="1AB7911A">
            <w:pPr>
              <w:spacing w:line="360" w:lineRule="auto"/>
              <w:jc w:val="left"/>
              <w:rPr>
                <w:rFonts w:ascii="仿宋_GB2312" w:hAnsi="宋体" w:eastAsia="仿宋_GB2312"/>
                <w:bCs/>
                <w:color w:val="FF0000"/>
                <w:sz w:val="24"/>
              </w:rPr>
            </w:pPr>
          </w:p>
        </w:tc>
        <w:tc>
          <w:tcPr>
            <w:tcW w:w="3390" w:type="pct"/>
          </w:tcPr>
          <w:p w14:paraId="1D080362">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根据各投标人提供的</w:t>
            </w:r>
            <w:r>
              <w:rPr>
                <w:rFonts w:hint="eastAsia" w:ascii="仿宋_GB2312" w:hAnsi="宋体" w:eastAsia="仿宋_GB2312"/>
                <w:bCs/>
                <w:color w:val="FF0000"/>
                <w:sz w:val="24"/>
                <w:lang w:val="en-US" w:eastAsia="zh-CN"/>
              </w:rPr>
              <w:t>维保服务</w:t>
            </w:r>
            <w:r>
              <w:rPr>
                <w:rFonts w:hint="eastAsia" w:ascii="仿宋_GB2312" w:hAnsi="宋体" w:eastAsia="仿宋_GB2312"/>
                <w:bCs/>
                <w:color w:val="FF0000"/>
                <w:sz w:val="24"/>
              </w:rPr>
              <w:t>期时间承诺情况进行评分，满足招标文件要求的不得分，在不增加费用的情况下，每增加一年加1分。</w:t>
            </w:r>
          </w:p>
        </w:tc>
      </w:tr>
      <w:tr w14:paraId="49794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64D720C8">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lang w:val="en-US" w:eastAsia="zh-CN"/>
              </w:rPr>
              <w:t>维保服务</w:t>
            </w:r>
            <w:r>
              <w:rPr>
                <w:rFonts w:hint="eastAsia" w:ascii="仿宋_GB2312" w:hAnsi="宋体" w:eastAsia="仿宋_GB2312"/>
                <w:bCs/>
                <w:color w:val="FF0000"/>
                <w:sz w:val="24"/>
              </w:rPr>
              <w:t>承诺情况</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若有</w:t>
            </w:r>
            <w:r>
              <w:rPr>
                <w:rFonts w:hint="eastAsia" w:ascii="仿宋_GB2312" w:hAnsi="宋体" w:eastAsia="仿宋_GB2312"/>
                <w:bCs/>
                <w:color w:val="FF0000"/>
                <w:sz w:val="24"/>
                <w:lang w:eastAsia="zh-CN"/>
              </w:rPr>
              <w:t>）</w:t>
            </w:r>
          </w:p>
        </w:tc>
        <w:tc>
          <w:tcPr>
            <w:tcW w:w="855" w:type="pct"/>
          </w:tcPr>
          <w:p w14:paraId="58F2B8C9">
            <w:pPr>
              <w:spacing w:line="360" w:lineRule="auto"/>
              <w:jc w:val="left"/>
              <w:rPr>
                <w:rFonts w:hint="eastAsia" w:ascii="仿宋_GB2312" w:hAnsi="宋体" w:eastAsia="仿宋_GB2312"/>
                <w:bCs/>
                <w:color w:val="FF0000"/>
                <w:sz w:val="24"/>
                <w:lang w:eastAsia="zh-CN"/>
              </w:rPr>
            </w:pPr>
          </w:p>
        </w:tc>
        <w:tc>
          <w:tcPr>
            <w:tcW w:w="3390" w:type="pct"/>
          </w:tcPr>
          <w:p w14:paraId="58971C22">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highlight w:val="yellow"/>
              </w:rPr>
              <w:t>参考样式一:</w:t>
            </w:r>
          </w:p>
          <w:p w14:paraId="5DBBF79A">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根据各投标人对本项目所提供的</w:t>
            </w:r>
            <w:r>
              <w:rPr>
                <w:rFonts w:hint="eastAsia" w:ascii="仿宋_GB2312" w:hAnsi="宋体" w:eastAsia="仿宋_GB2312"/>
                <w:bCs/>
                <w:color w:val="FF0000"/>
                <w:sz w:val="24"/>
                <w:lang w:val="en-US" w:eastAsia="zh-CN"/>
              </w:rPr>
              <w:t>维保</w:t>
            </w:r>
            <w:r>
              <w:rPr>
                <w:rFonts w:hint="eastAsia" w:ascii="仿宋_GB2312" w:hAnsi="宋体" w:eastAsia="仿宋_GB2312"/>
                <w:bCs/>
                <w:color w:val="FF0000"/>
                <w:sz w:val="24"/>
              </w:rPr>
              <w:t>服务方案，包括以下1.维修团队人员名单、分工职责；2.维修响应时间；3.维修方式；4.备品备件；5</w:t>
            </w:r>
            <w:r>
              <w:rPr>
                <w:rFonts w:hint="eastAsia" w:ascii="仿宋_GB2312" w:hAnsi="宋体" w:eastAsia="仿宋_GB2312"/>
                <w:bCs/>
                <w:color w:val="FF0000"/>
                <w:sz w:val="24"/>
                <w:lang w:val="en-US" w:eastAsia="zh-CN"/>
              </w:rPr>
              <w:t>.维保</w:t>
            </w:r>
            <w:r>
              <w:rPr>
                <w:rFonts w:hint="eastAsia" w:ascii="仿宋_GB2312" w:hAnsi="宋体" w:eastAsia="仿宋_GB2312"/>
                <w:bCs/>
                <w:color w:val="FF0000"/>
                <w:sz w:val="24"/>
              </w:rPr>
              <w:t>期后维修服务的项目；6.</w:t>
            </w:r>
            <w:r>
              <w:rPr>
                <w:rFonts w:hint="eastAsia" w:ascii="仿宋_GB2312" w:hAnsi="宋体" w:eastAsia="仿宋_GB2312"/>
                <w:bCs/>
                <w:color w:val="FF0000"/>
                <w:sz w:val="24"/>
                <w:lang w:val="en-US" w:eastAsia="zh-CN"/>
              </w:rPr>
              <w:t>维保</w:t>
            </w:r>
            <w:r>
              <w:rPr>
                <w:rFonts w:hint="eastAsia" w:ascii="仿宋_GB2312" w:hAnsi="宋体" w:eastAsia="仿宋_GB2312"/>
                <w:bCs/>
                <w:color w:val="FF0000"/>
                <w:sz w:val="24"/>
              </w:rPr>
              <w:t>期后需要付费服务项目报价情况共六项要点情况并展开描述。由评标委员会进行评议,在方案内容与要点相符、内容详实、各要点内容之间关联性强，逻辑清晰合理，且按现有客观实际情况和项目特征可以有效实施的且对采购人实用的前提下，方案要点齐全的得</w:t>
            </w:r>
            <w:r>
              <w:rPr>
                <w:rFonts w:hint="eastAsia" w:ascii="仿宋_GB2312" w:hAnsi="宋体" w:eastAsia="仿宋_GB2312"/>
                <w:bCs/>
                <w:color w:val="FF0000"/>
                <w:sz w:val="24"/>
                <w:lang w:val="en-US" w:eastAsia="zh-CN"/>
              </w:rPr>
              <w:t>2</w:t>
            </w:r>
            <w:r>
              <w:rPr>
                <w:rFonts w:hint="eastAsia" w:ascii="仿宋_GB2312" w:hAnsi="宋体" w:eastAsia="仿宋_GB2312"/>
                <w:bCs/>
                <w:color w:val="FF0000"/>
                <w:sz w:val="24"/>
              </w:rPr>
              <w:t>分，方案要点</w:t>
            </w:r>
            <w:r>
              <w:rPr>
                <w:rFonts w:hint="eastAsia" w:ascii="仿宋_GB2312" w:hAnsi="宋体" w:eastAsia="仿宋_GB2312"/>
                <w:bCs/>
                <w:color w:val="FF0000"/>
                <w:sz w:val="24"/>
                <w:lang w:val="en-US" w:eastAsia="zh-CN"/>
              </w:rPr>
              <w:t>满足5项</w:t>
            </w:r>
            <w:r>
              <w:rPr>
                <w:rFonts w:hint="eastAsia" w:ascii="仿宋_GB2312" w:hAnsi="宋体" w:eastAsia="仿宋_GB2312"/>
                <w:bCs/>
                <w:color w:val="FF0000"/>
                <w:sz w:val="24"/>
              </w:rPr>
              <w:t>的得</w:t>
            </w:r>
            <w:r>
              <w:rPr>
                <w:rFonts w:hint="eastAsia" w:ascii="仿宋_GB2312" w:hAnsi="宋体" w:eastAsia="仿宋_GB2312"/>
                <w:bCs/>
                <w:color w:val="FF0000"/>
                <w:sz w:val="24"/>
                <w:lang w:val="en-US" w:eastAsia="zh-CN"/>
              </w:rPr>
              <w:t>1.5</w:t>
            </w:r>
            <w:r>
              <w:rPr>
                <w:rFonts w:hint="eastAsia" w:ascii="仿宋_GB2312" w:hAnsi="宋体" w:eastAsia="仿宋_GB2312"/>
                <w:bCs/>
                <w:color w:val="FF0000"/>
                <w:sz w:val="24"/>
              </w:rPr>
              <w:t>分，方案要点</w:t>
            </w:r>
            <w:r>
              <w:rPr>
                <w:rFonts w:hint="eastAsia" w:ascii="仿宋_GB2312" w:hAnsi="宋体" w:eastAsia="仿宋_GB2312"/>
                <w:bCs/>
                <w:color w:val="FF0000"/>
                <w:sz w:val="24"/>
                <w:lang w:val="en-US" w:eastAsia="zh-CN"/>
              </w:rPr>
              <w:t>满足4项</w:t>
            </w:r>
            <w:r>
              <w:rPr>
                <w:rFonts w:hint="eastAsia" w:ascii="仿宋_GB2312" w:hAnsi="宋体" w:eastAsia="仿宋_GB2312"/>
                <w:bCs/>
                <w:color w:val="FF0000"/>
                <w:sz w:val="24"/>
              </w:rPr>
              <w:t>的得</w:t>
            </w:r>
            <w:r>
              <w:rPr>
                <w:rFonts w:hint="eastAsia" w:ascii="仿宋_GB2312" w:hAnsi="宋体" w:eastAsia="仿宋_GB2312"/>
                <w:bCs/>
                <w:color w:val="FF0000"/>
                <w:sz w:val="24"/>
                <w:lang w:val="en-US" w:eastAsia="zh-CN"/>
              </w:rPr>
              <w:t>1</w:t>
            </w:r>
            <w:r>
              <w:rPr>
                <w:rFonts w:hint="eastAsia" w:ascii="仿宋_GB2312" w:hAnsi="宋体" w:eastAsia="仿宋_GB2312"/>
                <w:bCs/>
                <w:color w:val="FF0000"/>
                <w:sz w:val="24"/>
              </w:rPr>
              <w:t>分，其他情况或未提供采购方案的不得分。</w:t>
            </w:r>
          </w:p>
          <w:p w14:paraId="6DC23926">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highlight w:val="yellow"/>
              </w:rPr>
              <w:t>参考样式二：</w:t>
            </w:r>
          </w:p>
          <w:p w14:paraId="4893C68D">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根据各投标人对本项目所提供的</w:t>
            </w:r>
            <w:r>
              <w:rPr>
                <w:rFonts w:hint="eastAsia" w:ascii="仿宋_GB2312" w:hAnsi="宋体" w:eastAsia="仿宋_GB2312"/>
                <w:bCs/>
                <w:color w:val="FF0000"/>
                <w:sz w:val="24"/>
                <w:lang w:val="en-US" w:eastAsia="zh-CN"/>
              </w:rPr>
              <w:t>维保</w:t>
            </w:r>
            <w:r>
              <w:rPr>
                <w:rFonts w:hint="eastAsia" w:ascii="仿宋_GB2312" w:hAnsi="宋体" w:eastAsia="仿宋_GB2312"/>
                <w:bCs/>
                <w:color w:val="FF0000"/>
                <w:sz w:val="24"/>
              </w:rPr>
              <w:t>服务方案，包括以下1.维修团队人员名单、分工职责；2.维修响应时间；3.维修方式；4.备品备件；5</w:t>
            </w:r>
            <w:r>
              <w:rPr>
                <w:rFonts w:hint="eastAsia" w:ascii="仿宋_GB2312" w:hAnsi="宋体" w:eastAsia="仿宋_GB2312"/>
                <w:bCs/>
                <w:color w:val="FF0000"/>
                <w:sz w:val="24"/>
                <w:lang w:val="en-US" w:eastAsia="zh-CN"/>
              </w:rPr>
              <w:t>.维保</w:t>
            </w:r>
            <w:r>
              <w:rPr>
                <w:rFonts w:hint="eastAsia" w:ascii="仿宋_GB2312" w:hAnsi="宋体" w:eastAsia="仿宋_GB2312"/>
                <w:bCs/>
                <w:color w:val="FF0000"/>
                <w:sz w:val="24"/>
              </w:rPr>
              <w:t>期后维修服务的项目；6.</w:t>
            </w:r>
            <w:r>
              <w:rPr>
                <w:rFonts w:hint="eastAsia" w:ascii="仿宋_GB2312" w:hAnsi="宋体" w:eastAsia="仿宋_GB2312"/>
                <w:bCs/>
                <w:color w:val="FF0000"/>
                <w:sz w:val="24"/>
                <w:lang w:val="en-US" w:eastAsia="zh-CN"/>
              </w:rPr>
              <w:t>维保</w:t>
            </w:r>
            <w:r>
              <w:rPr>
                <w:rFonts w:hint="eastAsia" w:ascii="仿宋_GB2312" w:hAnsi="宋体" w:eastAsia="仿宋_GB2312"/>
                <w:bCs/>
                <w:color w:val="FF0000"/>
                <w:sz w:val="24"/>
              </w:rPr>
              <w:t>期后需要付费服务项目报价情况共六项要点情况并展开描述。由评标委员会进行评议,</w:t>
            </w:r>
            <w:r>
              <w:rPr>
                <w:rFonts w:hint="eastAsia" w:ascii="仿宋_GB2312" w:hAnsi="宋体" w:eastAsia="仿宋_GB2312"/>
                <w:bCs/>
                <w:color w:val="FF0000"/>
                <w:sz w:val="24"/>
                <w:lang w:val="en-US" w:eastAsia="zh-CN"/>
              </w:rPr>
              <w:t>要点</w:t>
            </w:r>
            <w:r>
              <w:rPr>
                <w:rFonts w:hint="eastAsia" w:ascii="仿宋_GB2312" w:hAnsi="宋体" w:eastAsia="仿宋_GB2312"/>
                <w:bCs/>
                <w:color w:val="FF0000"/>
                <w:sz w:val="24"/>
              </w:rPr>
              <w:t>齐全、每个要点均有展开详细的阐述</w:t>
            </w:r>
            <w:r>
              <w:rPr>
                <w:rFonts w:hint="eastAsia" w:ascii="仿宋_GB2312" w:hAnsi="宋体" w:eastAsia="仿宋_GB2312"/>
                <w:bCs/>
                <w:color w:val="FF0000"/>
                <w:sz w:val="24"/>
                <w:lang w:val="en-US" w:eastAsia="zh-CN"/>
              </w:rPr>
              <w:t>内容</w:t>
            </w:r>
            <w:r>
              <w:rPr>
                <w:rFonts w:hint="eastAsia" w:ascii="仿宋_GB2312" w:hAnsi="宋体" w:eastAsia="仿宋_GB2312"/>
                <w:bCs/>
                <w:color w:val="FF0000"/>
                <w:sz w:val="24"/>
              </w:rPr>
              <w:t>且能够适用于本项目</w:t>
            </w:r>
            <w:r>
              <w:rPr>
                <w:rFonts w:hint="eastAsia" w:ascii="仿宋_GB2312" w:hAnsi="宋体" w:eastAsia="仿宋_GB2312"/>
                <w:bCs/>
                <w:color w:val="FF0000"/>
                <w:sz w:val="24"/>
                <w:lang w:val="en-US" w:eastAsia="zh-CN"/>
              </w:rPr>
              <w:t>的，还有增加其他能够适用于本项目的维保</w:t>
            </w:r>
            <w:r>
              <w:rPr>
                <w:rFonts w:hint="eastAsia" w:ascii="仿宋_GB2312" w:hAnsi="宋体" w:eastAsia="仿宋_GB2312"/>
                <w:bCs/>
                <w:color w:val="FF0000"/>
                <w:sz w:val="24"/>
              </w:rPr>
              <w:t>服务</w:t>
            </w:r>
            <w:r>
              <w:rPr>
                <w:rFonts w:hint="eastAsia" w:ascii="仿宋_GB2312" w:hAnsi="宋体" w:eastAsia="仿宋_GB2312"/>
                <w:bCs/>
                <w:color w:val="FF0000"/>
                <w:sz w:val="24"/>
                <w:lang w:val="en-US" w:eastAsia="zh-CN"/>
              </w:rPr>
              <w:t>条款的</w:t>
            </w:r>
            <w:r>
              <w:rPr>
                <w:rFonts w:hint="eastAsia" w:ascii="仿宋_GB2312" w:hAnsi="宋体" w:eastAsia="仿宋_GB2312"/>
                <w:bCs/>
                <w:color w:val="FF0000"/>
                <w:sz w:val="24"/>
              </w:rPr>
              <w:t>得</w:t>
            </w:r>
            <w:r>
              <w:rPr>
                <w:rFonts w:hint="eastAsia" w:ascii="仿宋_GB2312" w:hAnsi="宋体" w:eastAsia="仿宋_GB2312"/>
                <w:bCs/>
                <w:color w:val="FF0000"/>
                <w:sz w:val="24"/>
                <w:lang w:val="en-US" w:eastAsia="zh-CN"/>
              </w:rPr>
              <w:t>2</w:t>
            </w:r>
            <w:r>
              <w:rPr>
                <w:rFonts w:hint="eastAsia" w:ascii="仿宋_GB2312" w:hAnsi="宋体" w:eastAsia="仿宋_GB2312"/>
                <w:bCs/>
                <w:color w:val="FF0000"/>
                <w:sz w:val="24"/>
              </w:rPr>
              <w:t>分；</w:t>
            </w:r>
            <w:r>
              <w:rPr>
                <w:rFonts w:hint="eastAsia" w:ascii="仿宋_GB2312" w:hAnsi="宋体" w:eastAsia="仿宋_GB2312"/>
                <w:bCs/>
                <w:color w:val="FF0000"/>
                <w:sz w:val="24"/>
                <w:lang w:val="en-US" w:eastAsia="zh-CN"/>
              </w:rPr>
              <w:t>要点</w:t>
            </w:r>
            <w:r>
              <w:rPr>
                <w:rFonts w:hint="eastAsia" w:ascii="仿宋_GB2312" w:hAnsi="宋体" w:eastAsia="仿宋_GB2312"/>
                <w:bCs/>
                <w:color w:val="FF0000"/>
                <w:sz w:val="24"/>
              </w:rPr>
              <w:t>齐全、每个要点均有展开详细的阐述</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具有可操作性</w:t>
            </w:r>
            <w:r>
              <w:rPr>
                <w:rFonts w:hint="eastAsia" w:ascii="仿宋_GB2312" w:hAnsi="宋体" w:eastAsia="仿宋_GB2312"/>
                <w:bCs/>
                <w:color w:val="FF0000"/>
                <w:sz w:val="24"/>
              </w:rPr>
              <w:t>且能够适用于本项目</w:t>
            </w:r>
            <w:r>
              <w:rPr>
                <w:rFonts w:hint="eastAsia" w:ascii="仿宋_GB2312" w:hAnsi="宋体" w:eastAsia="仿宋_GB2312"/>
                <w:bCs/>
                <w:color w:val="FF0000"/>
                <w:sz w:val="24"/>
                <w:lang w:val="en-US" w:eastAsia="zh-CN"/>
              </w:rPr>
              <w:t>的</w:t>
            </w:r>
            <w:r>
              <w:rPr>
                <w:rFonts w:hint="eastAsia" w:ascii="仿宋_GB2312" w:hAnsi="宋体" w:eastAsia="仿宋_GB2312"/>
                <w:bCs/>
                <w:color w:val="FF0000"/>
                <w:sz w:val="24"/>
              </w:rPr>
              <w:t>得</w:t>
            </w:r>
            <w:r>
              <w:rPr>
                <w:rFonts w:hint="eastAsia" w:ascii="仿宋_GB2312" w:hAnsi="宋体" w:eastAsia="仿宋_GB2312"/>
                <w:bCs/>
                <w:color w:val="FF0000"/>
                <w:sz w:val="24"/>
                <w:lang w:val="en-US" w:eastAsia="zh-CN"/>
              </w:rPr>
              <w:t>1.5</w:t>
            </w:r>
            <w:r>
              <w:rPr>
                <w:rFonts w:hint="eastAsia" w:ascii="仿宋_GB2312" w:hAnsi="宋体" w:eastAsia="仿宋_GB2312"/>
                <w:bCs/>
                <w:color w:val="FF0000"/>
                <w:sz w:val="24"/>
              </w:rPr>
              <w:t>分</w:t>
            </w:r>
            <w:r>
              <w:rPr>
                <w:rFonts w:hint="eastAsia" w:ascii="仿宋_GB2312" w:hAnsi="宋体" w:eastAsia="仿宋_GB2312"/>
                <w:bCs/>
                <w:color w:val="FF0000"/>
                <w:sz w:val="24"/>
                <w:lang w:val="en-US" w:eastAsia="zh-CN"/>
              </w:rPr>
              <w:t>；</w:t>
            </w:r>
            <w:r>
              <w:rPr>
                <w:rFonts w:hint="eastAsia" w:ascii="仿宋_GB2312" w:hAnsi="宋体" w:eastAsia="仿宋_GB2312"/>
                <w:bCs/>
                <w:color w:val="FF0000"/>
                <w:sz w:val="24"/>
              </w:rPr>
              <w:t>要点齐全、每个要点均有展开阐述</w:t>
            </w:r>
            <w:r>
              <w:rPr>
                <w:rFonts w:hint="eastAsia" w:ascii="仿宋_GB2312" w:hAnsi="宋体" w:eastAsia="仿宋_GB2312"/>
                <w:bCs/>
                <w:color w:val="FF0000"/>
                <w:sz w:val="24"/>
                <w:lang w:val="en-US" w:eastAsia="zh-CN"/>
              </w:rPr>
              <w:t>内容，内容简略，可操作性不强且</w:t>
            </w:r>
            <w:r>
              <w:rPr>
                <w:rFonts w:hint="eastAsia" w:ascii="仿宋_GB2312" w:hAnsi="宋体" w:eastAsia="仿宋_GB2312"/>
                <w:bCs/>
                <w:color w:val="FF0000"/>
                <w:sz w:val="24"/>
              </w:rPr>
              <w:t>基本能够适用于本项目的得</w:t>
            </w:r>
            <w:r>
              <w:rPr>
                <w:rFonts w:hint="eastAsia" w:ascii="仿宋_GB2312" w:hAnsi="宋体" w:eastAsia="仿宋_GB2312"/>
                <w:bCs/>
                <w:color w:val="FF0000"/>
                <w:sz w:val="24"/>
                <w:lang w:val="en-US" w:eastAsia="zh-CN"/>
              </w:rPr>
              <w:t>1</w:t>
            </w:r>
            <w:r>
              <w:rPr>
                <w:rFonts w:hint="eastAsia" w:ascii="仿宋_GB2312" w:hAnsi="宋体" w:eastAsia="仿宋_GB2312"/>
                <w:bCs/>
                <w:color w:val="FF0000"/>
                <w:sz w:val="24"/>
              </w:rPr>
              <w:t>分；</w:t>
            </w:r>
            <w:r>
              <w:rPr>
                <w:rFonts w:hint="eastAsia" w:ascii="仿宋_GB2312" w:hAnsi="宋体" w:eastAsia="仿宋_GB2312"/>
                <w:bCs/>
                <w:color w:val="FF0000"/>
                <w:sz w:val="24"/>
                <w:lang w:val="en-US" w:eastAsia="zh-CN"/>
              </w:rPr>
              <w:t>其他情况或</w:t>
            </w:r>
            <w:r>
              <w:rPr>
                <w:rFonts w:hint="eastAsia" w:ascii="仿宋_GB2312" w:hAnsi="宋体" w:eastAsia="仿宋_GB2312"/>
                <w:bCs/>
                <w:color w:val="FF0000"/>
                <w:sz w:val="24"/>
              </w:rPr>
              <w:t>方案未提供均不得分。</w:t>
            </w:r>
          </w:p>
          <w:p w14:paraId="5EE4EC98">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highlight w:val="yellow"/>
              </w:rPr>
              <w:t>采购需求部门也可根据自身实际情况量化客观评分要求</w:t>
            </w:r>
            <w:r>
              <w:rPr>
                <w:rFonts w:hint="eastAsia" w:ascii="仿宋_GB2312" w:hAnsi="宋体" w:eastAsia="仿宋_GB2312"/>
                <w:bCs/>
                <w:color w:val="FF0000"/>
                <w:kern w:val="0"/>
                <w:sz w:val="24"/>
                <w:highlight w:val="yellow"/>
              </w:rPr>
              <w:t>，自行拟定评分要求。</w:t>
            </w:r>
          </w:p>
        </w:tc>
      </w:tr>
      <w:tr w14:paraId="1C621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469429DD">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培训方案</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若有</w:t>
            </w:r>
            <w:r>
              <w:rPr>
                <w:rFonts w:hint="eastAsia" w:ascii="仿宋_GB2312" w:hAnsi="宋体" w:eastAsia="仿宋_GB2312"/>
                <w:bCs/>
                <w:color w:val="FF0000"/>
                <w:sz w:val="24"/>
                <w:lang w:eastAsia="zh-CN"/>
              </w:rPr>
              <w:t>）</w:t>
            </w:r>
          </w:p>
        </w:tc>
        <w:tc>
          <w:tcPr>
            <w:tcW w:w="855" w:type="pct"/>
          </w:tcPr>
          <w:p w14:paraId="63F245CA">
            <w:pPr>
              <w:spacing w:line="360" w:lineRule="auto"/>
              <w:jc w:val="left"/>
              <w:rPr>
                <w:rFonts w:hint="eastAsia" w:ascii="仿宋_GB2312" w:hAnsi="宋体" w:eastAsia="仿宋_GB2312"/>
                <w:bCs/>
                <w:color w:val="FF0000"/>
                <w:sz w:val="24"/>
                <w:lang w:eastAsia="zh-CN"/>
              </w:rPr>
            </w:pPr>
          </w:p>
        </w:tc>
        <w:tc>
          <w:tcPr>
            <w:tcW w:w="3390" w:type="pct"/>
          </w:tcPr>
          <w:p w14:paraId="632E47CA">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highlight w:val="yellow"/>
              </w:rPr>
              <w:t>参考样式一:</w:t>
            </w:r>
          </w:p>
          <w:p w14:paraId="532580D6">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根据各投标人对本项目所提供的技术培训方案，包括1.技术培训内容；2.培训时间安排；</w:t>
            </w:r>
            <w:r>
              <w:rPr>
                <w:rFonts w:ascii="仿宋_GB2312" w:hAnsi="宋体" w:eastAsia="仿宋_GB2312"/>
                <w:bCs/>
                <w:color w:val="FF0000"/>
                <w:sz w:val="24"/>
              </w:rPr>
              <w:t>3.</w:t>
            </w:r>
            <w:r>
              <w:rPr>
                <w:rFonts w:hint="eastAsia" w:ascii="仿宋_GB2312" w:hAnsi="宋体" w:eastAsia="仿宋_GB2312"/>
                <w:bCs/>
                <w:color w:val="FF0000"/>
                <w:sz w:val="24"/>
              </w:rPr>
              <w:t>培训团队人员名单、分工职责、联系方式;</w:t>
            </w:r>
            <w:r>
              <w:rPr>
                <w:rFonts w:ascii="仿宋_GB2312" w:hAnsi="宋体" w:eastAsia="仿宋_GB2312"/>
                <w:bCs/>
                <w:color w:val="FF0000"/>
                <w:sz w:val="24"/>
              </w:rPr>
              <w:t>4.</w:t>
            </w:r>
            <w:r>
              <w:rPr>
                <w:rFonts w:hint="eastAsia" w:ascii="仿宋_GB2312" w:hAnsi="宋体" w:eastAsia="仿宋_GB2312"/>
                <w:bCs/>
                <w:color w:val="FF0000"/>
                <w:sz w:val="24"/>
              </w:rPr>
              <w:t>培训形式；</w:t>
            </w:r>
            <w:r>
              <w:rPr>
                <w:rFonts w:ascii="仿宋_GB2312" w:hAnsi="宋体" w:eastAsia="仿宋_GB2312"/>
                <w:bCs/>
                <w:color w:val="FF0000"/>
                <w:sz w:val="24"/>
              </w:rPr>
              <w:t>5</w:t>
            </w:r>
            <w:r>
              <w:rPr>
                <w:rFonts w:hint="eastAsia" w:ascii="仿宋_GB2312" w:hAnsi="宋体" w:eastAsia="仿宋_GB2312"/>
                <w:bCs/>
                <w:color w:val="FF0000"/>
                <w:sz w:val="24"/>
              </w:rPr>
              <w:t>.保障培训效果的措施共五项要点情况并展开描述。由评标委员会进行评议,在方案内容与要点相符、内容详实、各要点内容之间关联性强，逻辑清晰合理，且按现有客观实际情况和项目特征可以有效实施的且对采购人实用的前提下，方案要点齐全的得</w:t>
            </w:r>
            <w:r>
              <w:rPr>
                <w:rFonts w:hint="eastAsia" w:ascii="仿宋_GB2312" w:hAnsi="宋体" w:eastAsia="仿宋_GB2312"/>
                <w:bCs/>
                <w:color w:val="FF0000"/>
                <w:sz w:val="24"/>
                <w:lang w:val="en-US" w:eastAsia="zh-CN"/>
              </w:rPr>
              <w:t>1</w:t>
            </w:r>
            <w:r>
              <w:rPr>
                <w:rFonts w:hint="eastAsia" w:ascii="仿宋_GB2312" w:hAnsi="宋体" w:eastAsia="仿宋_GB2312"/>
                <w:bCs/>
                <w:color w:val="FF0000"/>
                <w:sz w:val="24"/>
              </w:rPr>
              <w:t>分，方案要点仅缺一项的得</w:t>
            </w:r>
            <w:r>
              <w:rPr>
                <w:rFonts w:hint="eastAsia" w:ascii="仿宋_GB2312" w:hAnsi="宋体" w:eastAsia="仿宋_GB2312"/>
                <w:bCs/>
                <w:color w:val="FF0000"/>
                <w:sz w:val="24"/>
                <w:lang w:val="en-US" w:eastAsia="zh-CN"/>
              </w:rPr>
              <w:t>0.5</w:t>
            </w:r>
            <w:r>
              <w:rPr>
                <w:rFonts w:hint="eastAsia" w:ascii="仿宋_GB2312" w:hAnsi="宋体" w:eastAsia="仿宋_GB2312"/>
                <w:bCs/>
                <w:color w:val="FF0000"/>
                <w:sz w:val="24"/>
              </w:rPr>
              <w:t>分，其他情况或未提供采购方案的不得分。</w:t>
            </w:r>
          </w:p>
          <w:p w14:paraId="032E10A8">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highlight w:val="yellow"/>
              </w:rPr>
              <w:t>参考样式二：</w:t>
            </w:r>
          </w:p>
          <w:p w14:paraId="3B045C1E">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根据各投标人对本项目所提供的技术培训方案，包括1.技术培训内容；2.培训时间安排；</w:t>
            </w:r>
            <w:r>
              <w:rPr>
                <w:rFonts w:ascii="仿宋_GB2312" w:hAnsi="宋体" w:eastAsia="仿宋_GB2312"/>
                <w:bCs/>
                <w:color w:val="FF0000"/>
                <w:sz w:val="24"/>
              </w:rPr>
              <w:t>3.</w:t>
            </w:r>
            <w:r>
              <w:rPr>
                <w:rFonts w:hint="eastAsia" w:ascii="仿宋_GB2312" w:hAnsi="宋体" w:eastAsia="仿宋_GB2312"/>
                <w:bCs/>
                <w:color w:val="FF0000"/>
                <w:sz w:val="24"/>
              </w:rPr>
              <w:t>培训团队人员名单、分工职责、联系方式;</w:t>
            </w:r>
            <w:r>
              <w:rPr>
                <w:rFonts w:ascii="仿宋_GB2312" w:hAnsi="宋体" w:eastAsia="仿宋_GB2312"/>
                <w:bCs/>
                <w:color w:val="FF0000"/>
                <w:sz w:val="24"/>
              </w:rPr>
              <w:t>4.</w:t>
            </w:r>
            <w:r>
              <w:rPr>
                <w:rFonts w:hint="eastAsia" w:ascii="仿宋_GB2312" w:hAnsi="宋体" w:eastAsia="仿宋_GB2312"/>
                <w:bCs/>
                <w:color w:val="FF0000"/>
                <w:sz w:val="24"/>
              </w:rPr>
              <w:t>培训形式；</w:t>
            </w:r>
            <w:r>
              <w:rPr>
                <w:rFonts w:ascii="仿宋_GB2312" w:hAnsi="宋体" w:eastAsia="仿宋_GB2312"/>
                <w:bCs/>
                <w:color w:val="FF0000"/>
                <w:sz w:val="24"/>
              </w:rPr>
              <w:t>5</w:t>
            </w:r>
            <w:r>
              <w:rPr>
                <w:rFonts w:hint="eastAsia" w:ascii="仿宋_GB2312" w:hAnsi="宋体" w:eastAsia="仿宋_GB2312"/>
                <w:bCs/>
                <w:color w:val="FF0000"/>
                <w:sz w:val="24"/>
              </w:rPr>
              <w:t>.保障培训效果的措施共五项要点情况并展开描述。由评标委员会进行评议,</w:t>
            </w:r>
            <w:r>
              <w:rPr>
                <w:rFonts w:hint="eastAsia" w:ascii="仿宋_GB2312" w:hAnsi="宋体" w:eastAsia="仿宋_GB2312"/>
                <w:bCs/>
                <w:color w:val="FF0000"/>
                <w:sz w:val="24"/>
                <w:lang w:val="en-US" w:eastAsia="zh-CN"/>
              </w:rPr>
              <w:t>要点</w:t>
            </w:r>
            <w:r>
              <w:rPr>
                <w:rFonts w:hint="eastAsia" w:ascii="仿宋_GB2312" w:hAnsi="宋体" w:eastAsia="仿宋_GB2312"/>
                <w:bCs/>
                <w:color w:val="FF0000"/>
                <w:sz w:val="24"/>
              </w:rPr>
              <w:t>齐全、每个要点均有展开详细的阐述</w:t>
            </w:r>
            <w:r>
              <w:rPr>
                <w:rFonts w:hint="eastAsia" w:ascii="仿宋_GB2312" w:hAnsi="宋体" w:eastAsia="仿宋_GB2312"/>
                <w:bCs/>
                <w:color w:val="FF0000"/>
                <w:sz w:val="24"/>
                <w:lang w:val="en-US" w:eastAsia="zh-CN"/>
              </w:rPr>
              <w:t>内容</w:t>
            </w:r>
            <w:r>
              <w:rPr>
                <w:rFonts w:hint="eastAsia" w:ascii="仿宋_GB2312" w:hAnsi="宋体" w:eastAsia="仿宋_GB2312"/>
                <w:bCs/>
                <w:color w:val="FF0000"/>
                <w:sz w:val="24"/>
              </w:rPr>
              <w:t>且能够适用于本项目</w:t>
            </w:r>
            <w:r>
              <w:rPr>
                <w:rFonts w:hint="eastAsia" w:ascii="仿宋_GB2312" w:hAnsi="宋体" w:eastAsia="仿宋_GB2312"/>
                <w:bCs/>
                <w:color w:val="FF0000"/>
                <w:sz w:val="24"/>
                <w:lang w:val="en-US" w:eastAsia="zh-CN"/>
              </w:rPr>
              <w:t>的，还有增加其他能够适用于本项目的维保</w:t>
            </w:r>
            <w:r>
              <w:rPr>
                <w:rFonts w:hint="eastAsia" w:ascii="仿宋_GB2312" w:hAnsi="宋体" w:eastAsia="仿宋_GB2312"/>
                <w:bCs/>
                <w:color w:val="FF0000"/>
                <w:sz w:val="24"/>
              </w:rPr>
              <w:t>服务</w:t>
            </w:r>
            <w:r>
              <w:rPr>
                <w:rFonts w:hint="eastAsia" w:ascii="仿宋_GB2312" w:hAnsi="宋体" w:eastAsia="仿宋_GB2312"/>
                <w:bCs/>
                <w:color w:val="FF0000"/>
                <w:sz w:val="24"/>
                <w:lang w:val="en-US" w:eastAsia="zh-CN"/>
              </w:rPr>
              <w:t>条款的</w:t>
            </w:r>
            <w:r>
              <w:rPr>
                <w:rFonts w:hint="eastAsia" w:ascii="仿宋_GB2312" w:hAnsi="宋体" w:eastAsia="仿宋_GB2312"/>
                <w:bCs/>
                <w:color w:val="FF0000"/>
                <w:sz w:val="24"/>
              </w:rPr>
              <w:t>得</w:t>
            </w:r>
            <w:r>
              <w:rPr>
                <w:rFonts w:hint="eastAsia" w:ascii="仿宋_GB2312" w:hAnsi="宋体" w:eastAsia="仿宋_GB2312"/>
                <w:bCs/>
                <w:color w:val="FF0000"/>
                <w:sz w:val="24"/>
                <w:lang w:val="en-US" w:eastAsia="zh-CN"/>
              </w:rPr>
              <w:t>2</w:t>
            </w:r>
            <w:r>
              <w:rPr>
                <w:rFonts w:hint="eastAsia" w:ascii="仿宋_GB2312" w:hAnsi="宋体" w:eastAsia="仿宋_GB2312"/>
                <w:bCs/>
                <w:color w:val="FF0000"/>
                <w:sz w:val="24"/>
              </w:rPr>
              <w:t>分；</w:t>
            </w:r>
            <w:r>
              <w:rPr>
                <w:rFonts w:hint="eastAsia" w:ascii="仿宋_GB2312" w:hAnsi="宋体" w:eastAsia="仿宋_GB2312"/>
                <w:bCs/>
                <w:color w:val="FF0000"/>
                <w:sz w:val="24"/>
                <w:lang w:val="en-US" w:eastAsia="zh-CN"/>
              </w:rPr>
              <w:t>要点</w:t>
            </w:r>
            <w:r>
              <w:rPr>
                <w:rFonts w:hint="eastAsia" w:ascii="仿宋_GB2312" w:hAnsi="宋体" w:eastAsia="仿宋_GB2312"/>
                <w:bCs/>
                <w:color w:val="FF0000"/>
                <w:sz w:val="24"/>
              </w:rPr>
              <w:t>齐全、每个要点均有展开详细的阐述</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具有可操作性</w:t>
            </w:r>
            <w:r>
              <w:rPr>
                <w:rFonts w:hint="eastAsia" w:ascii="仿宋_GB2312" w:hAnsi="宋体" w:eastAsia="仿宋_GB2312"/>
                <w:bCs/>
                <w:color w:val="FF0000"/>
                <w:sz w:val="24"/>
              </w:rPr>
              <w:t>且能够适用于本项目</w:t>
            </w:r>
            <w:r>
              <w:rPr>
                <w:rFonts w:hint="eastAsia" w:ascii="仿宋_GB2312" w:hAnsi="宋体" w:eastAsia="仿宋_GB2312"/>
                <w:bCs/>
                <w:color w:val="FF0000"/>
                <w:sz w:val="24"/>
                <w:lang w:val="en-US" w:eastAsia="zh-CN"/>
              </w:rPr>
              <w:t>的</w:t>
            </w:r>
            <w:r>
              <w:rPr>
                <w:rFonts w:hint="eastAsia" w:ascii="仿宋_GB2312" w:hAnsi="宋体" w:eastAsia="仿宋_GB2312"/>
                <w:bCs/>
                <w:color w:val="FF0000"/>
                <w:sz w:val="24"/>
              </w:rPr>
              <w:t>得</w:t>
            </w:r>
            <w:r>
              <w:rPr>
                <w:rFonts w:hint="eastAsia" w:ascii="仿宋_GB2312" w:hAnsi="宋体" w:eastAsia="仿宋_GB2312"/>
                <w:bCs/>
                <w:color w:val="FF0000"/>
                <w:sz w:val="24"/>
                <w:lang w:val="en-US" w:eastAsia="zh-CN"/>
              </w:rPr>
              <w:t>1.5</w:t>
            </w:r>
            <w:r>
              <w:rPr>
                <w:rFonts w:hint="eastAsia" w:ascii="仿宋_GB2312" w:hAnsi="宋体" w:eastAsia="仿宋_GB2312"/>
                <w:bCs/>
                <w:color w:val="FF0000"/>
                <w:sz w:val="24"/>
              </w:rPr>
              <w:t>分</w:t>
            </w:r>
            <w:r>
              <w:rPr>
                <w:rFonts w:hint="eastAsia" w:ascii="仿宋_GB2312" w:hAnsi="宋体" w:eastAsia="仿宋_GB2312"/>
                <w:bCs/>
                <w:color w:val="FF0000"/>
                <w:sz w:val="24"/>
                <w:lang w:val="en-US" w:eastAsia="zh-CN"/>
              </w:rPr>
              <w:t>；</w:t>
            </w:r>
            <w:r>
              <w:rPr>
                <w:rFonts w:hint="eastAsia" w:ascii="仿宋_GB2312" w:hAnsi="宋体" w:eastAsia="仿宋_GB2312"/>
                <w:bCs/>
                <w:color w:val="FF0000"/>
                <w:sz w:val="24"/>
              </w:rPr>
              <w:t>要点齐全、每个要点均有展开阐述</w:t>
            </w:r>
            <w:r>
              <w:rPr>
                <w:rFonts w:hint="eastAsia" w:ascii="仿宋_GB2312" w:hAnsi="宋体" w:eastAsia="仿宋_GB2312"/>
                <w:bCs/>
                <w:color w:val="FF0000"/>
                <w:sz w:val="24"/>
                <w:lang w:val="en-US" w:eastAsia="zh-CN"/>
              </w:rPr>
              <w:t>内容，内容简略，可操作性不强且</w:t>
            </w:r>
            <w:r>
              <w:rPr>
                <w:rFonts w:hint="eastAsia" w:ascii="仿宋_GB2312" w:hAnsi="宋体" w:eastAsia="仿宋_GB2312"/>
                <w:bCs/>
                <w:color w:val="FF0000"/>
                <w:sz w:val="24"/>
              </w:rPr>
              <w:t>基本能够适用于本项目的得</w:t>
            </w:r>
            <w:r>
              <w:rPr>
                <w:rFonts w:hint="eastAsia" w:ascii="仿宋_GB2312" w:hAnsi="宋体" w:eastAsia="仿宋_GB2312"/>
                <w:bCs/>
                <w:color w:val="FF0000"/>
                <w:sz w:val="24"/>
                <w:lang w:val="en-US" w:eastAsia="zh-CN"/>
              </w:rPr>
              <w:t>1</w:t>
            </w:r>
            <w:r>
              <w:rPr>
                <w:rFonts w:hint="eastAsia" w:ascii="仿宋_GB2312" w:hAnsi="宋体" w:eastAsia="仿宋_GB2312"/>
                <w:bCs/>
                <w:color w:val="FF0000"/>
                <w:sz w:val="24"/>
              </w:rPr>
              <w:t>分；</w:t>
            </w:r>
            <w:r>
              <w:rPr>
                <w:rFonts w:hint="eastAsia" w:ascii="仿宋_GB2312" w:hAnsi="宋体" w:eastAsia="仿宋_GB2312"/>
                <w:bCs/>
                <w:color w:val="FF0000"/>
                <w:sz w:val="24"/>
                <w:lang w:val="en-US" w:eastAsia="zh-CN"/>
              </w:rPr>
              <w:t>其他情况或</w:t>
            </w:r>
            <w:r>
              <w:rPr>
                <w:rFonts w:hint="eastAsia" w:ascii="仿宋_GB2312" w:hAnsi="宋体" w:eastAsia="仿宋_GB2312"/>
                <w:bCs/>
                <w:color w:val="FF0000"/>
                <w:sz w:val="24"/>
              </w:rPr>
              <w:t>方案未提供均不得分。</w:t>
            </w:r>
          </w:p>
          <w:p w14:paraId="35564709">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highlight w:val="yellow"/>
              </w:rPr>
              <w:t>采购需求部门也可根据自身实际情况量化客观评分要求</w:t>
            </w:r>
            <w:r>
              <w:rPr>
                <w:rFonts w:hint="eastAsia" w:ascii="仿宋_GB2312" w:hAnsi="宋体" w:eastAsia="仿宋_GB2312"/>
                <w:bCs/>
                <w:color w:val="FF0000"/>
                <w:kern w:val="0"/>
                <w:sz w:val="24"/>
                <w:highlight w:val="yellow"/>
              </w:rPr>
              <w:t>，自行拟定评分要求。</w:t>
            </w:r>
          </w:p>
        </w:tc>
      </w:tr>
    </w:tbl>
    <w:p w14:paraId="426011CB">
      <w:pPr>
        <w:spacing w:line="360" w:lineRule="auto"/>
        <w:jc w:val="left"/>
        <w:rPr>
          <w:rFonts w:ascii="仿宋_GB2312" w:hAnsi="宋体" w:eastAsia="仿宋_GB2312"/>
          <w:bCs/>
          <w:sz w:val="24"/>
        </w:rPr>
      </w:pPr>
      <w:r>
        <w:rPr>
          <w:rFonts w:hint="eastAsia" w:ascii="仿宋_GB2312" w:hAnsi="宋体" w:eastAsia="仿宋_GB2312"/>
          <w:bCs/>
          <w:sz w:val="24"/>
        </w:rPr>
        <w:t>三、价格部分（  分）</w:t>
      </w:r>
    </w:p>
    <w:p w14:paraId="6544F148">
      <w:pPr>
        <w:spacing w:line="360" w:lineRule="auto"/>
        <w:jc w:val="left"/>
        <w:rPr>
          <w:rFonts w:ascii="仿宋_GB2312" w:hAnsi="宋体" w:eastAsia="仿宋_GB2312"/>
          <w:bCs/>
          <w:sz w:val="24"/>
        </w:rPr>
      </w:pPr>
    </w:p>
    <w:p w14:paraId="6426BAFB">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注：定稿采购方案请以命名为“</w:t>
      </w:r>
      <w:r>
        <w:rPr>
          <w:rFonts w:hint="eastAsia" w:ascii="仿宋_GB2312" w:hAnsi="宋体" w:eastAsia="仿宋_GB2312"/>
          <w:bCs/>
          <w:color w:val="FF0000"/>
          <w:sz w:val="24"/>
          <w:lang w:val="en-US" w:eastAsia="zh-CN"/>
        </w:rPr>
        <w:t>日期+第几稿+</w:t>
      </w:r>
      <w:r>
        <w:rPr>
          <w:rFonts w:hint="eastAsia" w:ascii="仿宋_GB2312" w:hAnsi="宋体" w:eastAsia="仿宋_GB2312"/>
          <w:bCs/>
          <w:color w:val="FF0000"/>
          <w:sz w:val="24"/>
        </w:rPr>
        <w:t>项目名称简写+采购方案”的电子文档发送至fjjyzbzx@fjcpc.edu.cn。</w:t>
      </w:r>
    </w:p>
    <w:p w14:paraId="2ACD85F4">
      <w:pPr>
        <w:spacing w:line="360" w:lineRule="auto"/>
        <w:jc w:val="left"/>
        <w:rPr>
          <w:rFonts w:ascii="仿宋_GB2312" w:hAnsi="宋体" w:eastAsia="仿宋_GB2312"/>
          <w:bCs/>
          <w:color w:val="FF0000"/>
          <w:sz w:val="24"/>
        </w:rPr>
      </w:pPr>
    </w:p>
    <w:p w14:paraId="36C500B1">
      <w:pPr>
        <w:spacing w:line="360" w:lineRule="auto"/>
        <w:ind w:firstLine="5640" w:firstLineChars="2350"/>
        <w:jc w:val="left"/>
        <w:rPr>
          <w:rFonts w:ascii="仿宋_GB2312" w:hAnsi="宋体" w:eastAsia="仿宋_GB2312"/>
          <w:bCs/>
          <w:sz w:val="24"/>
        </w:rPr>
      </w:pPr>
    </w:p>
    <w:p w14:paraId="0990A791">
      <w:pPr>
        <w:spacing w:line="360" w:lineRule="auto"/>
        <w:ind w:firstLine="5640" w:firstLineChars="2350"/>
        <w:jc w:val="left"/>
        <w:rPr>
          <w:rFonts w:ascii="仿宋_GB2312" w:hAnsi="宋体" w:eastAsia="仿宋_GB2312"/>
          <w:bCs/>
          <w:sz w:val="24"/>
        </w:rPr>
      </w:pPr>
    </w:p>
    <w:p w14:paraId="7C7967ED">
      <w:pPr>
        <w:spacing w:line="360" w:lineRule="auto"/>
        <w:ind w:firstLine="3960" w:firstLineChars="1650"/>
        <w:jc w:val="left"/>
        <w:rPr>
          <w:rFonts w:ascii="仿宋_GB2312" w:hAnsi="宋体" w:eastAsia="仿宋_GB2312"/>
          <w:bCs/>
          <w:sz w:val="24"/>
        </w:rPr>
      </w:pPr>
      <w:r>
        <w:rPr>
          <w:rFonts w:hint="eastAsia" w:ascii="仿宋_GB2312" w:hAnsi="宋体" w:eastAsia="仿宋_GB2312"/>
          <w:bCs/>
          <w:sz w:val="24"/>
        </w:rPr>
        <w:t>申报部门负责人：</w:t>
      </w:r>
    </w:p>
    <w:p w14:paraId="5F9CC5DB">
      <w:pPr>
        <w:spacing w:line="360" w:lineRule="auto"/>
        <w:ind w:firstLine="3840" w:firstLineChars="1600"/>
        <w:jc w:val="left"/>
        <w:rPr>
          <w:rFonts w:ascii="仿宋_GB2312" w:hAnsi="宋体" w:eastAsia="仿宋_GB2312"/>
          <w:bCs/>
          <w:sz w:val="24"/>
        </w:rPr>
      </w:pPr>
      <w:r>
        <w:rPr>
          <w:rFonts w:hint="eastAsia" w:ascii="仿宋_GB2312" w:hAnsi="宋体" w:eastAsia="仿宋_GB2312"/>
          <w:bCs/>
          <w:sz w:val="24"/>
        </w:rPr>
        <w:t>申报部门（盖章）：</w:t>
      </w:r>
    </w:p>
    <w:p w14:paraId="5A566346">
      <w:pPr>
        <w:spacing w:line="360" w:lineRule="auto"/>
        <w:ind w:firstLine="6120" w:firstLineChars="2550"/>
        <w:jc w:val="left"/>
        <w:rPr>
          <w:rFonts w:ascii="仿宋_GB2312" w:eastAsia="仿宋_GB2312"/>
          <w:bCs/>
          <w:sz w:val="24"/>
        </w:rPr>
      </w:pPr>
      <w:r>
        <w:rPr>
          <w:rFonts w:hint="eastAsia" w:ascii="仿宋_GB2312" w:hAnsi="宋体" w:eastAsia="仿宋_GB2312"/>
          <w:bCs/>
          <w:sz w:val="24"/>
        </w:rPr>
        <w:t>年  月  日</w:t>
      </w:r>
    </w:p>
    <w:p w14:paraId="6B026FD3"/>
    <w:sectPr>
      <w:footerReference r:id="rId3" w:type="default"/>
      <w:pgSz w:w="11906" w:h="16838"/>
      <w:pgMar w:top="1021" w:right="1247" w:bottom="90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3985376"/>
      <w:docPartObj>
        <w:docPartGallery w:val="autotext"/>
      </w:docPartObj>
    </w:sdtPr>
    <w:sdtContent>
      <w:p w14:paraId="4DEE3D47">
        <w:pPr>
          <w:pStyle w:val="2"/>
          <w:jc w:val="center"/>
        </w:pPr>
        <w:r>
          <w:fldChar w:fldCharType="begin"/>
        </w:r>
        <w:r>
          <w:instrText xml:space="preserve">PAGE   \* MERGEFORMAT</w:instrText>
        </w:r>
        <w:r>
          <w:fldChar w:fldCharType="separate"/>
        </w:r>
        <w:r>
          <w:rPr>
            <w:lang w:val="zh-CN"/>
          </w:rPr>
          <w:t>3</w:t>
        </w:r>
        <w:r>
          <w:fldChar w:fldCharType="end"/>
        </w:r>
      </w:p>
    </w:sdtContent>
  </w:sdt>
  <w:p w14:paraId="4FE2C42F">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4YWU2ODNiNzFiODQyMTM0ZjYwODgyM2JiMDJjMTgifQ=="/>
    <w:docVar w:name="KSO_WPS_MARK_KEY" w:val="407aad71-40c5-493a-aefe-cb6c65968e22"/>
  </w:docVars>
  <w:rsids>
    <w:rsidRoot w:val="00EF6FC8"/>
    <w:rsid w:val="00015A0A"/>
    <w:rsid w:val="00051C2F"/>
    <w:rsid w:val="00083A5E"/>
    <w:rsid w:val="00087909"/>
    <w:rsid w:val="000C7266"/>
    <w:rsid w:val="0014794C"/>
    <w:rsid w:val="00182735"/>
    <w:rsid w:val="00186CAA"/>
    <w:rsid w:val="0019001B"/>
    <w:rsid w:val="00191067"/>
    <w:rsid w:val="00192787"/>
    <w:rsid w:val="001A2C58"/>
    <w:rsid w:val="001C11C6"/>
    <w:rsid w:val="001C303A"/>
    <w:rsid w:val="002020F3"/>
    <w:rsid w:val="002035B0"/>
    <w:rsid w:val="002316B0"/>
    <w:rsid w:val="00236F24"/>
    <w:rsid w:val="00243CF1"/>
    <w:rsid w:val="00252C4D"/>
    <w:rsid w:val="00270C61"/>
    <w:rsid w:val="002776B7"/>
    <w:rsid w:val="002B016A"/>
    <w:rsid w:val="002C06B1"/>
    <w:rsid w:val="002C2AF0"/>
    <w:rsid w:val="002D1252"/>
    <w:rsid w:val="002D6A35"/>
    <w:rsid w:val="002E38A4"/>
    <w:rsid w:val="002E791C"/>
    <w:rsid w:val="002F5D73"/>
    <w:rsid w:val="003005FC"/>
    <w:rsid w:val="003103CE"/>
    <w:rsid w:val="00321E3C"/>
    <w:rsid w:val="00321F98"/>
    <w:rsid w:val="003242D8"/>
    <w:rsid w:val="003311B9"/>
    <w:rsid w:val="00334FF2"/>
    <w:rsid w:val="003444F3"/>
    <w:rsid w:val="003752DD"/>
    <w:rsid w:val="00384EAE"/>
    <w:rsid w:val="00392106"/>
    <w:rsid w:val="00397AF4"/>
    <w:rsid w:val="003B3FA7"/>
    <w:rsid w:val="003B515D"/>
    <w:rsid w:val="003C2205"/>
    <w:rsid w:val="003C4919"/>
    <w:rsid w:val="003D60A3"/>
    <w:rsid w:val="003E1A79"/>
    <w:rsid w:val="0040595F"/>
    <w:rsid w:val="004068B1"/>
    <w:rsid w:val="00430592"/>
    <w:rsid w:val="004358D5"/>
    <w:rsid w:val="004642A5"/>
    <w:rsid w:val="004854A4"/>
    <w:rsid w:val="00487CBE"/>
    <w:rsid w:val="004D3AD0"/>
    <w:rsid w:val="004F66A8"/>
    <w:rsid w:val="00510FCC"/>
    <w:rsid w:val="0051628A"/>
    <w:rsid w:val="005165EC"/>
    <w:rsid w:val="005370BC"/>
    <w:rsid w:val="005B69CD"/>
    <w:rsid w:val="005C3FC3"/>
    <w:rsid w:val="005C6315"/>
    <w:rsid w:val="005D3A59"/>
    <w:rsid w:val="005F152B"/>
    <w:rsid w:val="00635213"/>
    <w:rsid w:val="00660F2B"/>
    <w:rsid w:val="006636CD"/>
    <w:rsid w:val="00663851"/>
    <w:rsid w:val="006770C2"/>
    <w:rsid w:val="006803C8"/>
    <w:rsid w:val="00686E8B"/>
    <w:rsid w:val="006A7C82"/>
    <w:rsid w:val="006D0D50"/>
    <w:rsid w:val="006D3F92"/>
    <w:rsid w:val="006D6844"/>
    <w:rsid w:val="006E390A"/>
    <w:rsid w:val="00712B6E"/>
    <w:rsid w:val="00724815"/>
    <w:rsid w:val="007261D7"/>
    <w:rsid w:val="00726689"/>
    <w:rsid w:val="00734E11"/>
    <w:rsid w:val="00741A95"/>
    <w:rsid w:val="00761DCB"/>
    <w:rsid w:val="00790416"/>
    <w:rsid w:val="0079631C"/>
    <w:rsid w:val="007B3E82"/>
    <w:rsid w:val="007C5765"/>
    <w:rsid w:val="007D0E37"/>
    <w:rsid w:val="007D21C9"/>
    <w:rsid w:val="007D2200"/>
    <w:rsid w:val="007D2AC9"/>
    <w:rsid w:val="007E5293"/>
    <w:rsid w:val="007F76FB"/>
    <w:rsid w:val="007F785D"/>
    <w:rsid w:val="00805023"/>
    <w:rsid w:val="00814C5E"/>
    <w:rsid w:val="008418B3"/>
    <w:rsid w:val="00880409"/>
    <w:rsid w:val="00893ABC"/>
    <w:rsid w:val="008A70DC"/>
    <w:rsid w:val="008B1362"/>
    <w:rsid w:val="008D3ABD"/>
    <w:rsid w:val="008E2BCE"/>
    <w:rsid w:val="008E7A6A"/>
    <w:rsid w:val="00901455"/>
    <w:rsid w:val="009015C8"/>
    <w:rsid w:val="009033D5"/>
    <w:rsid w:val="00903B4F"/>
    <w:rsid w:val="00965193"/>
    <w:rsid w:val="0099165A"/>
    <w:rsid w:val="009A28ED"/>
    <w:rsid w:val="009C1919"/>
    <w:rsid w:val="009C38AE"/>
    <w:rsid w:val="009C773E"/>
    <w:rsid w:val="009D136E"/>
    <w:rsid w:val="009D27CB"/>
    <w:rsid w:val="00A03380"/>
    <w:rsid w:val="00A05787"/>
    <w:rsid w:val="00A20FC5"/>
    <w:rsid w:val="00A37CE6"/>
    <w:rsid w:val="00A37E36"/>
    <w:rsid w:val="00A6580B"/>
    <w:rsid w:val="00A77E4C"/>
    <w:rsid w:val="00AC51E6"/>
    <w:rsid w:val="00AE416E"/>
    <w:rsid w:val="00AF1D7E"/>
    <w:rsid w:val="00B143CA"/>
    <w:rsid w:val="00B7465E"/>
    <w:rsid w:val="00BB7225"/>
    <w:rsid w:val="00BE009A"/>
    <w:rsid w:val="00BF1924"/>
    <w:rsid w:val="00BF406D"/>
    <w:rsid w:val="00C06F79"/>
    <w:rsid w:val="00C07A50"/>
    <w:rsid w:val="00C10BDA"/>
    <w:rsid w:val="00C341AA"/>
    <w:rsid w:val="00C41D8E"/>
    <w:rsid w:val="00C4204A"/>
    <w:rsid w:val="00C43861"/>
    <w:rsid w:val="00C438A4"/>
    <w:rsid w:val="00C80F1A"/>
    <w:rsid w:val="00C936DC"/>
    <w:rsid w:val="00C9617B"/>
    <w:rsid w:val="00CD2697"/>
    <w:rsid w:val="00CF1A2D"/>
    <w:rsid w:val="00D40F71"/>
    <w:rsid w:val="00DB354F"/>
    <w:rsid w:val="00DB6300"/>
    <w:rsid w:val="00DC4FDB"/>
    <w:rsid w:val="00DD2B13"/>
    <w:rsid w:val="00E16271"/>
    <w:rsid w:val="00E40646"/>
    <w:rsid w:val="00E57586"/>
    <w:rsid w:val="00E739A3"/>
    <w:rsid w:val="00E92B27"/>
    <w:rsid w:val="00E94004"/>
    <w:rsid w:val="00EA6648"/>
    <w:rsid w:val="00EE5B31"/>
    <w:rsid w:val="00EF277E"/>
    <w:rsid w:val="00EF302E"/>
    <w:rsid w:val="00EF6FC8"/>
    <w:rsid w:val="00F000B6"/>
    <w:rsid w:val="00F0436D"/>
    <w:rsid w:val="00F241F7"/>
    <w:rsid w:val="00F429DF"/>
    <w:rsid w:val="00F466E8"/>
    <w:rsid w:val="00F7050A"/>
    <w:rsid w:val="00F714D1"/>
    <w:rsid w:val="00FB396D"/>
    <w:rsid w:val="00FC4E6D"/>
    <w:rsid w:val="00FD071F"/>
    <w:rsid w:val="00FE75E6"/>
    <w:rsid w:val="00FF4EBF"/>
    <w:rsid w:val="07A72EEE"/>
    <w:rsid w:val="09BD444D"/>
    <w:rsid w:val="14A62959"/>
    <w:rsid w:val="16642F40"/>
    <w:rsid w:val="16E86EC4"/>
    <w:rsid w:val="1781284F"/>
    <w:rsid w:val="1D8E3BF5"/>
    <w:rsid w:val="1EDB7DE1"/>
    <w:rsid w:val="22EF3493"/>
    <w:rsid w:val="235D48AB"/>
    <w:rsid w:val="25E727A7"/>
    <w:rsid w:val="29A17565"/>
    <w:rsid w:val="2DC313BE"/>
    <w:rsid w:val="34195458"/>
    <w:rsid w:val="370C5A8E"/>
    <w:rsid w:val="38E46458"/>
    <w:rsid w:val="41A773E6"/>
    <w:rsid w:val="42021BAB"/>
    <w:rsid w:val="473B20EF"/>
    <w:rsid w:val="47BE6D02"/>
    <w:rsid w:val="4E7B0E5C"/>
    <w:rsid w:val="5475068F"/>
    <w:rsid w:val="58BF1638"/>
    <w:rsid w:val="5A365133"/>
    <w:rsid w:val="65642458"/>
    <w:rsid w:val="6CA51F31"/>
    <w:rsid w:val="6DF65083"/>
    <w:rsid w:val="6E3E4936"/>
    <w:rsid w:val="78766A16"/>
    <w:rsid w:val="7B2B2B3B"/>
    <w:rsid w:val="7F3F59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customStyle="1" w:styleId="9">
    <w:name w:val="_Style 2"/>
    <w:basedOn w:val="1"/>
    <w:qFormat/>
    <w:uiPriority w:val="0"/>
    <w:pPr>
      <w:ind w:firstLine="420" w:firstLineChars="200"/>
    </w:pPr>
    <w:rPr>
      <w:rFonts w:ascii="Calibri" w:hAnsi="Calibri"/>
      <w:szCs w:val="22"/>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3021</Words>
  <Characters>3127</Characters>
  <Lines>40</Lines>
  <Paragraphs>11</Paragraphs>
  <TotalTime>0</TotalTime>
  <ScaleCrop>false</ScaleCrop>
  <LinksUpToDate>false</LinksUpToDate>
  <CharactersWithSpaces>3187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2016-11-10T06:44:00Z</dcterms:created>
  <dc:creator>lenovo</dc:creator>
  <cp:lastModifiedBy>e</cp:lastModifiedBy>
  <dcterms:modified xsi:type="dcterms:W3CDTF">2025-11-13T01:03:15Z</dcterms:modified>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A2F8832FFB3E4C49854136B107B4A0C0</vt:lpwstr>
  </property>
  <property fmtid="{D5CDD505-2E9C-101B-9397-08002B2CF9AE}" pid="4" name="KSOTemplateDocerSaveRecord">
    <vt:lpwstr>eyJoZGlkIjoiNWY4YWU2ODNiNzFiODQyMTM0ZjYwODgyM2JiMDJjMTgifQ==</vt:lpwstr>
  </property>
</Properties>
</file>